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C101" w14:textId="63F9B2D9" w:rsidR="00EC7BBB" w:rsidRPr="004F3943" w:rsidRDefault="003048B0" w:rsidP="00C453FA">
      <w:pPr>
        <w:pStyle w:val="Heading1"/>
        <w:rPr>
          <w:rFonts w:ascii="Times New Roman" w:hAnsi="Times New Roman" w:cs="Times New Roman"/>
          <w:sz w:val="32"/>
          <w:szCs w:val="32"/>
        </w:rPr>
      </w:pPr>
      <w:r w:rsidRPr="004F3943">
        <w:rPr>
          <w:rFonts w:ascii="Times New Roman" w:hAnsi="Times New Roman" w:cs="Times New Roman"/>
          <w:sz w:val="32"/>
          <w:szCs w:val="32"/>
        </w:rPr>
        <w:t>2022</w:t>
      </w:r>
      <w:r w:rsidR="00EC7BBB" w:rsidRPr="004F3943">
        <w:rPr>
          <w:rFonts w:ascii="Times New Roman" w:hAnsi="Times New Roman" w:cs="Times New Roman"/>
          <w:sz w:val="32"/>
          <w:szCs w:val="32"/>
        </w:rPr>
        <w:t xml:space="preserve"> Fish Passage Plan</w:t>
      </w:r>
    </w:p>
    <w:p w14:paraId="27851317" w14:textId="77777777" w:rsidR="002F2909" w:rsidRPr="004F3943" w:rsidRDefault="0018043C" w:rsidP="00C453FA">
      <w:pPr>
        <w:pStyle w:val="Heading1"/>
        <w:rPr>
          <w:rFonts w:ascii="Times New Roman" w:hAnsi="Times New Roman" w:cs="Times New Roman"/>
          <w:i/>
          <w:sz w:val="32"/>
          <w:szCs w:val="32"/>
        </w:rPr>
      </w:pPr>
      <w:r w:rsidRPr="004F3943">
        <w:rPr>
          <w:rFonts w:ascii="Times New Roman" w:hAnsi="Times New Roman" w:cs="Times New Roman"/>
          <w:sz w:val="32"/>
          <w:szCs w:val="32"/>
        </w:rPr>
        <w:t>Appendix C</w:t>
      </w:r>
      <w:r w:rsidR="00354803" w:rsidRPr="004F3943">
        <w:rPr>
          <w:rFonts w:ascii="Times New Roman" w:hAnsi="Times New Roman" w:cs="Times New Roman"/>
          <w:sz w:val="32"/>
          <w:szCs w:val="32"/>
        </w:rPr>
        <w:t xml:space="preserve"> </w:t>
      </w:r>
    </w:p>
    <w:p w14:paraId="373A1706" w14:textId="589117A8" w:rsidR="0018043C" w:rsidRPr="004F3943" w:rsidRDefault="0018043C" w:rsidP="00C453FA">
      <w:pPr>
        <w:pStyle w:val="Heading1"/>
        <w:rPr>
          <w:rFonts w:ascii="Times New Roman" w:hAnsi="Times New Roman" w:cs="Times New Roman"/>
        </w:rPr>
      </w:pPr>
      <w:r w:rsidRPr="004F3943">
        <w:rPr>
          <w:rFonts w:ascii="Times New Roman" w:hAnsi="Times New Roman" w:cs="Times New Roman"/>
        </w:rPr>
        <w:t xml:space="preserve">Bonneville Power Administration’s System Load Shaping Guidelines Regarding Turbine Operation </w:t>
      </w:r>
      <w:r w:rsidR="00857A20" w:rsidRPr="004F3943">
        <w:rPr>
          <w:rFonts w:ascii="Times New Roman" w:hAnsi="Times New Roman" w:cs="Times New Roman"/>
        </w:rPr>
        <w:t>&amp;</w:t>
      </w:r>
      <w:r w:rsidRPr="004F3943">
        <w:rPr>
          <w:rFonts w:ascii="Times New Roman" w:hAnsi="Times New Roman" w:cs="Times New Roman"/>
        </w:rPr>
        <w:t xml:space="preserve"> Peak Efficiency</w:t>
      </w:r>
    </w:p>
    <w:p w14:paraId="4A920776" w14:textId="77777777"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14:paraId="07FAB933" w14:textId="7384A4AE" w:rsidR="00C079D1"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65850733" w:history="1">
        <w:r w:rsidR="00C079D1" w:rsidRPr="00AC5459">
          <w:rPr>
            <w:rStyle w:val="Hyperlink"/>
            <w:noProof/>
          </w:rPr>
          <w:t>1.</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Introduction</w:t>
        </w:r>
        <w:r w:rsidR="00C079D1">
          <w:rPr>
            <w:noProof/>
            <w:webHidden/>
          </w:rPr>
          <w:tab/>
        </w:r>
        <w:r w:rsidR="00C079D1">
          <w:rPr>
            <w:noProof/>
            <w:webHidden/>
          </w:rPr>
          <w:fldChar w:fldCharType="begin"/>
        </w:r>
        <w:r w:rsidR="00C079D1">
          <w:rPr>
            <w:noProof/>
            <w:webHidden/>
          </w:rPr>
          <w:instrText xml:space="preserve"> PAGEREF _Toc65850733 \h </w:instrText>
        </w:r>
        <w:r w:rsidR="00C079D1">
          <w:rPr>
            <w:noProof/>
            <w:webHidden/>
          </w:rPr>
        </w:r>
        <w:r w:rsidR="00C079D1">
          <w:rPr>
            <w:noProof/>
            <w:webHidden/>
          </w:rPr>
          <w:fldChar w:fldCharType="separate"/>
        </w:r>
        <w:r w:rsidR="00C079D1">
          <w:rPr>
            <w:noProof/>
            <w:webHidden/>
          </w:rPr>
          <w:t>1</w:t>
        </w:r>
        <w:r w:rsidR="00C079D1">
          <w:rPr>
            <w:noProof/>
            <w:webHidden/>
          </w:rPr>
          <w:fldChar w:fldCharType="end"/>
        </w:r>
      </w:hyperlink>
    </w:p>
    <w:p w14:paraId="389F8BCE" w14:textId="0574B91E" w:rsidR="00C079D1" w:rsidRDefault="001B2A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34" w:history="1">
        <w:r w:rsidR="00C079D1" w:rsidRPr="00AC5459">
          <w:rPr>
            <w:rStyle w:val="Hyperlink"/>
            <w:noProof/>
          </w:rPr>
          <w:t>2.</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TURBINE EFFICIENCY</w:t>
        </w:r>
        <w:r w:rsidR="00C079D1">
          <w:rPr>
            <w:noProof/>
            <w:webHidden/>
          </w:rPr>
          <w:tab/>
        </w:r>
        <w:r w:rsidR="00C079D1">
          <w:rPr>
            <w:noProof/>
            <w:webHidden/>
          </w:rPr>
          <w:fldChar w:fldCharType="begin"/>
        </w:r>
        <w:r w:rsidR="00C079D1">
          <w:rPr>
            <w:noProof/>
            <w:webHidden/>
          </w:rPr>
          <w:instrText xml:space="preserve"> PAGEREF _Toc65850734 \h </w:instrText>
        </w:r>
        <w:r w:rsidR="00C079D1">
          <w:rPr>
            <w:noProof/>
            <w:webHidden/>
          </w:rPr>
        </w:r>
        <w:r w:rsidR="00C079D1">
          <w:rPr>
            <w:noProof/>
            <w:webHidden/>
          </w:rPr>
          <w:fldChar w:fldCharType="separate"/>
        </w:r>
        <w:r w:rsidR="00C079D1">
          <w:rPr>
            <w:noProof/>
            <w:webHidden/>
          </w:rPr>
          <w:t>1</w:t>
        </w:r>
        <w:r w:rsidR="00C079D1">
          <w:rPr>
            <w:noProof/>
            <w:webHidden/>
          </w:rPr>
          <w:fldChar w:fldCharType="end"/>
        </w:r>
      </w:hyperlink>
    </w:p>
    <w:p w14:paraId="5BC3331A" w14:textId="341153DB" w:rsidR="00C079D1" w:rsidRDefault="001B2A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35" w:history="1">
        <w:r w:rsidR="00C079D1" w:rsidRPr="00AC5459">
          <w:rPr>
            <w:rStyle w:val="Hyperlink"/>
            <w:noProof/>
          </w:rPr>
          <w:t>3.</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GUIDELINES</w:t>
        </w:r>
        <w:r w:rsidR="00C079D1">
          <w:rPr>
            <w:noProof/>
            <w:webHidden/>
          </w:rPr>
          <w:tab/>
        </w:r>
        <w:r w:rsidR="00C079D1">
          <w:rPr>
            <w:noProof/>
            <w:webHidden/>
          </w:rPr>
          <w:fldChar w:fldCharType="begin"/>
        </w:r>
        <w:r w:rsidR="00C079D1">
          <w:rPr>
            <w:noProof/>
            <w:webHidden/>
          </w:rPr>
          <w:instrText xml:space="preserve"> PAGEREF _Toc65850735 \h </w:instrText>
        </w:r>
        <w:r w:rsidR="00C079D1">
          <w:rPr>
            <w:noProof/>
            <w:webHidden/>
          </w:rPr>
        </w:r>
        <w:r w:rsidR="00C079D1">
          <w:rPr>
            <w:noProof/>
            <w:webHidden/>
          </w:rPr>
          <w:fldChar w:fldCharType="separate"/>
        </w:r>
        <w:r w:rsidR="00C079D1">
          <w:rPr>
            <w:noProof/>
            <w:webHidden/>
          </w:rPr>
          <w:t>2</w:t>
        </w:r>
        <w:r w:rsidR="00C079D1">
          <w:rPr>
            <w:noProof/>
            <w:webHidden/>
          </w:rPr>
          <w:fldChar w:fldCharType="end"/>
        </w:r>
      </w:hyperlink>
    </w:p>
    <w:p w14:paraId="6A8C6168" w14:textId="7E9B2670" w:rsidR="00C079D1" w:rsidRDefault="001B2AEF">
      <w:pPr>
        <w:pStyle w:val="TOC2"/>
        <w:rPr>
          <w:rFonts w:asciiTheme="minorHAnsi" w:eastAsiaTheme="minorEastAsia" w:hAnsiTheme="minorHAnsi" w:cstheme="minorBidi"/>
          <w:noProof/>
          <w:sz w:val="22"/>
          <w:szCs w:val="22"/>
        </w:rPr>
      </w:pPr>
      <w:hyperlink w:anchor="_Toc65850736" w:history="1">
        <w:r w:rsidR="00C079D1" w:rsidRPr="00AC5459">
          <w:rPr>
            <w:rStyle w:val="Hyperlink"/>
            <w:noProof/>
          </w:rPr>
          <w:t>3.1. Objective.</w:t>
        </w:r>
        <w:r w:rsidR="00C079D1">
          <w:rPr>
            <w:noProof/>
            <w:webHidden/>
          </w:rPr>
          <w:tab/>
        </w:r>
        <w:r w:rsidR="00C079D1">
          <w:rPr>
            <w:noProof/>
            <w:webHidden/>
          </w:rPr>
          <w:fldChar w:fldCharType="begin"/>
        </w:r>
        <w:r w:rsidR="00C079D1">
          <w:rPr>
            <w:noProof/>
            <w:webHidden/>
          </w:rPr>
          <w:instrText xml:space="preserve"> PAGEREF _Toc65850736 \h </w:instrText>
        </w:r>
        <w:r w:rsidR="00C079D1">
          <w:rPr>
            <w:noProof/>
            <w:webHidden/>
          </w:rPr>
        </w:r>
        <w:r w:rsidR="00C079D1">
          <w:rPr>
            <w:noProof/>
            <w:webHidden/>
          </w:rPr>
          <w:fldChar w:fldCharType="separate"/>
        </w:r>
        <w:r w:rsidR="00C079D1">
          <w:rPr>
            <w:noProof/>
            <w:webHidden/>
          </w:rPr>
          <w:t>2</w:t>
        </w:r>
        <w:r w:rsidR="00C079D1">
          <w:rPr>
            <w:noProof/>
            <w:webHidden/>
          </w:rPr>
          <w:fldChar w:fldCharType="end"/>
        </w:r>
      </w:hyperlink>
    </w:p>
    <w:p w14:paraId="2681C161" w14:textId="201C8AB9" w:rsidR="00C079D1" w:rsidRDefault="001B2AEF">
      <w:pPr>
        <w:pStyle w:val="TOC2"/>
        <w:rPr>
          <w:rFonts w:asciiTheme="minorHAnsi" w:eastAsiaTheme="minorEastAsia" w:hAnsiTheme="minorHAnsi" w:cstheme="minorBidi"/>
          <w:noProof/>
          <w:sz w:val="22"/>
          <w:szCs w:val="22"/>
        </w:rPr>
      </w:pPr>
      <w:hyperlink w:anchor="_Toc65850737" w:history="1">
        <w:r w:rsidR="00C079D1" w:rsidRPr="00AC5459">
          <w:rPr>
            <w:rStyle w:val="Hyperlink"/>
            <w:noProof/>
          </w:rPr>
          <w:t>3.2. In-Season Peak Efficiency Operating Period</w:t>
        </w:r>
        <w:r w:rsidR="00C079D1">
          <w:rPr>
            <w:noProof/>
            <w:webHidden/>
          </w:rPr>
          <w:tab/>
        </w:r>
        <w:r w:rsidR="00C079D1">
          <w:rPr>
            <w:noProof/>
            <w:webHidden/>
          </w:rPr>
          <w:fldChar w:fldCharType="begin"/>
        </w:r>
        <w:r w:rsidR="00C079D1">
          <w:rPr>
            <w:noProof/>
            <w:webHidden/>
          </w:rPr>
          <w:instrText xml:space="preserve"> PAGEREF _Toc65850737 \h </w:instrText>
        </w:r>
        <w:r w:rsidR="00C079D1">
          <w:rPr>
            <w:noProof/>
            <w:webHidden/>
          </w:rPr>
        </w:r>
        <w:r w:rsidR="00C079D1">
          <w:rPr>
            <w:noProof/>
            <w:webHidden/>
          </w:rPr>
          <w:fldChar w:fldCharType="separate"/>
        </w:r>
        <w:r w:rsidR="00C079D1">
          <w:rPr>
            <w:noProof/>
            <w:webHidden/>
          </w:rPr>
          <w:t>2</w:t>
        </w:r>
        <w:r w:rsidR="00C079D1">
          <w:rPr>
            <w:noProof/>
            <w:webHidden/>
          </w:rPr>
          <w:fldChar w:fldCharType="end"/>
        </w:r>
      </w:hyperlink>
    </w:p>
    <w:p w14:paraId="5AE45D9C" w14:textId="639B34C6" w:rsidR="00C079D1" w:rsidRDefault="001B2AEF">
      <w:pPr>
        <w:pStyle w:val="TOC2"/>
        <w:rPr>
          <w:rFonts w:asciiTheme="minorHAnsi" w:eastAsiaTheme="minorEastAsia" w:hAnsiTheme="minorHAnsi" w:cstheme="minorBidi"/>
          <w:noProof/>
          <w:sz w:val="22"/>
          <w:szCs w:val="22"/>
        </w:rPr>
      </w:pPr>
      <w:hyperlink w:anchor="_Toc65850738" w:history="1">
        <w:r w:rsidR="00C079D1" w:rsidRPr="00AC5459">
          <w:rPr>
            <w:rStyle w:val="Hyperlink"/>
            <w:noProof/>
          </w:rPr>
          <w:t>3.3. Off-Season Operating Period.</w:t>
        </w:r>
        <w:r w:rsidR="00C079D1">
          <w:rPr>
            <w:noProof/>
            <w:webHidden/>
          </w:rPr>
          <w:tab/>
        </w:r>
        <w:r w:rsidR="00C079D1">
          <w:rPr>
            <w:noProof/>
            <w:webHidden/>
          </w:rPr>
          <w:fldChar w:fldCharType="begin"/>
        </w:r>
        <w:r w:rsidR="00C079D1">
          <w:rPr>
            <w:noProof/>
            <w:webHidden/>
          </w:rPr>
          <w:instrText xml:space="preserve"> PAGEREF _Toc65850738 \h </w:instrText>
        </w:r>
        <w:r w:rsidR="00C079D1">
          <w:rPr>
            <w:noProof/>
            <w:webHidden/>
          </w:rPr>
        </w:r>
        <w:r w:rsidR="00C079D1">
          <w:rPr>
            <w:noProof/>
            <w:webHidden/>
          </w:rPr>
          <w:fldChar w:fldCharType="separate"/>
        </w:r>
        <w:r w:rsidR="00C079D1">
          <w:rPr>
            <w:noProof/>
            <w:webHidden/>
          </w:rPr>
          <w:t>3</w:t>
        </w:r>
        <w:r w:rsidR="00C079D1">
          <w:rPr>
            <w:noProof/>
            <w:webHidden/>
          </w:rPr>
          <w:fldChar w:fldCharType="end"/>
        </w:r>
      </w:hyperlink>
    </w:p>
    <w:p w14:paraId="05E80C6E" w14:textId="5D5A3D88" w:rsidR="00C079D1" w:rsidRDefault="001B2AEF">
      <w:pPr>
        <w:pStyle w:val="TOC2"/>
        <w:rPr>
          <w:rFonts w:asciiTheme="minorHAnsi" w:eastAsiaTheme="minorEastAsia" w:hAnsiTheme="minorHAnsi" w:cstheme="minorBidi"/>
          <w:noProof/>
          <w:sz w:val="22"/>
          <w:szCs w:val="22"/>
        </w:rPr>
      </w:pPr>
      <w:hyperlink w:anchor="_Toc65850739" w:history="1">
        <w:r w:rsidR="00C079D1" w:rsidRPr="00AC5459">
          <w:rPr>
            <w:rStyle w:val="Hyperlink"/>
            <w:noProof/>
          </w:rPr>
          <w:t>3.4. Unit Priorities.</w:t>
        </w:r>
        <w:r w:rsidR="00C079D1">
          <w:rPr>
            <w:noProof/>
            <w:webHidden/>
          </w:rPr>
          <w:tab/>
        </w:r>
        <w:r w:rsidR="00C079D1">
          <w:rPr>
            <w:noProof/>
            <w:webHidden/>
          </w:rPr>
          <w:fldChar w:fldCharType="begin"/>
        </w:r>
        <w:r w:rsidR="00C079D1">
          <w:rPr>
            <w:noProof/>
            <w:webHidden/>
          </w:rPr>
          <w:instrText xml:space="preserve"> PAGEREF _Toc65850739 \h </w:instrText>
        </w:r>
        <w:r w:rsidR="00C079D1">
          <w:rPr>
            <w:noProof/>
            <w:webHidden/>
          </w:rPr>
        </w:r>
        <w:r w:rsidR="00C079D1">
          <w:rPr>
            <w:noProof/>
            <w:webHidden/>
          </w:rPr>
          <w:fldChar w:fldCharType="separate"/>
        </w:r>
        <w:r w:rsidR="00C079D1">
          <w:rPr>
            <w:noProof/>
            <w:webHidden/>
          </w:rPr>
          <w:t>3</w:t>
        </w:r>
        <w:r w:rsidR="00C079D1">
          <w:rPr>
            <w:noProof/>
            <w:webHidden/>
          </w:rPr>
          <w:fldChar w:fldCharType="end"/>
        </w:r>
      </w:hyperlink>
    </w:p>
    <w:p w14:paraId="32319AE0" w14:textId="60184EC4" w:rsidR="00C079D1" w:rsidRDefault="001B2AEF">
      <w:pPr>
        <w:pStyle w:val="TOC2"/>
        <w:rPr>
          <w:rFonts w:asciiTheme="minorHAnsi" w:eastAsiaTheme="minorEastAsia" w:hAnsiTheme="minorHAnsi" w:cstheme="minorBidi"/>
          <w:noProof/>
          <w:sz w:val="22"/>
          <w:szCs w:val="22"/>
        </w:rPr>
      </w:pPr>
      <w:hyperlink w:anchor="_Toc65850740" w:history="1">
        <w:r w:rsidR="00C079D1" w:rsidRPr="00AC5459">
          <w:rPr>
            <w:rStyle w:val="Hyperlink"/>
            <w:noProof/>
          </w:rPr>
          <w:t>3.5. Project Priorities.</w:t>
        </w:r>
        <w:r w:rsidR="00C079D1">
          <w:rPr>
            <w:noProof/>
            <w:webHidden/>
          </w:rPr>
          <w:tab/>
        </w:r>
        <w:r w:rsidR="00C079D1">
          <w:rPr>
            <w:noProof/>
            <w:webHidden/>
          </w:rPr>
          <w:fldChar w:fldCharType="begin"/>
        </w:r>
        <w:r w:rsidR="00C079D1">
          <w:rPr>
            <w:noProof/>
            <w:webHidden/>
          </w:rPr>
          <w:instrText xml:space="preserve"> PAGEREF _Toc65850740 \h </w:instrText>
        </w:r>
        <w:r w:rsidR="00C079D1">
          <w:rPr>
            <w:noProof/>
            <w:webHidden/>
          </w:rPr>
        </w:r>
        <w:r w:rsidR="00C079D1">
          <w:rPr>
            <w:noProof/>
            <w:webHidden/>
          </w:rPr>
          <w:fldChar w:fldCharType="separate"/>
        </w:r>
        <w:r w:rsidR="00C079D1">
          <w:rPr>
            <w:noProof/>
            <w:webHidden/>
          </w:rPr>
          <w:t>3</w:t>
        </w:r>
        <w:r w:rsidR="00C079D1">
          <w:rPr>
            <w:noProof/>
            <w:webHidden/>
          </w:rPr>
          <w:fldChar w:fldCharType="end"/>
        </w:r>
      </w:hyperlink>
    </w:p>
    <w:p w14:paraId="340F3EB8" w14:textId="1DF827EF" w:rsidR="00C079D1" w:rsidRDefault="001B2AEF">
      <w:pPr>
        <w:pStyle w:val="TOC2"/>
        <w:rPr>
          <w:rFonts w:asciiTheme="minorHAnsi" w:eastAsiaTheme="minorEastAsia" w:hAnsiTheme="minorHAnsi" w:cstheme="minorBidi"/>
          <w:noProof/>
          <w:sz w:val="22"/>
          <w:szCs w:val="22"/>
        </w:rPr>
      </w:pPr>
      <w:hyperlink w:anchor="_Toc65850741" w:history="1">
        <w:r w:rsidR="00C079D1" w:rsidRPr="00AC5459">
          <w:rPr>
            <w:rStyle w:val="Hyperlink"/>
            <w:noProof/>
          </w:rPr>
          <w:t>3.6. Coordination.</w:t>
        </w:r>
        <w:r w:rsidR="00C079D1">
          <w:rPr>
            <w:noProof/>
            <w:webHidden/>
          </w:rPr>
          <w:tab/>
        </w:r>
        <w:r w:rsidR="00C079D1">
          <w:rPr>
            <w:noProof/>
            <w:webHidden/>
          </w:rPr>
          <w:fldChar w:fldCharType="begin"/>
        </w:r>
        <w:r w:rsidR="00C079D1">
          <w:rPr>
            <w:noProof/>
            <w:webHidden/>
          </w:rPr>
          <w:instrText xml:space="preserve"> PAGEREF _Toc65850741 \h </w:instrText>
        </w:r>
        <w:r w:rsidR="00C079D1">
          <w:rPr>
            <w:noProof/>
            <w:webHidden/>
          </w:rPr>
        </w:r>
        <w:r w:rsidR="00C079D1">
          <w:rPr>
            <w:noProof/>
            <w:webHidden/>
          </w:rPr>
          <w:fldChar w:fldCharType="separate"/>
        </w:r>
        <w:r w:rsidR="00C079D1">
          <w:rPr>
            <w:noProof/>
            <w:webHidden/>
          </w:rPr>
          <w:t>3</w:t>
        </w:r>
        <w:r w:rsidR="00C079D1">
          <w:rPr>
            <w:noProof/>
            <w:webHidden/>
          </w:rPr>
          <w:fldChar w:fldCharType="end"/>
        </w:r>
      </w:hyperlink>
    </w:p>
    <w:p w14:paraId="47E5ED4A" w14:textId="2E0CDE74" w:rsidR="00C079D1" w:rsidRDefault="001B2AEF">
      <w:pPr>
        <w:pStyle w:val="TOC2"/>
        <w:rPr>
          <w:rFonts w:asciiTheme="minorHAnsi" w:eastAsiaTheme="minorEastAsia" w:hAnsiTheme="minorHAnsi" w:cstheme="minorBidi"/>
          <w:noProof/>
          <w:sz w:val="22"/>
          <w:szCs w:val="22"/>
        </w:rPr>
      </w:pPr>
      <w:hyperlink w:anchor="_Toc65850742" w:history="1">
        <w:r w:rsidR="00C079D1" w:rsidRPr="00AC5459">
          <w:rPr>
            <w:rStyle w:val="Hyperlink"/>
            <w:noProof/>
          </w:rPr>
          <w:t>3.7. Grand Coulee (GCL) and Chief Joseph (CHJ) Flexibility.</w:t>
        </w:r>
        <w:r w:rsidR="00C079D1">
          <w:rPr>
            <w:noProof/>
            <w:webHidden/>
          </w:rPr>
          <w:tab/>
        </w:r>
        <w:r w:rsidR="00C079D1">
          <w:rPr>
            <w:noProof/>
            <w:webHidden/>
          </w:rPr>
          <w:fldChar w:fldCharType="begin"/>
        </w:r>
        <w:r w:rsidR="00C079D1">
          <w:rPr>
            <w:noProof/>
            <w:webHidden/>
          </w:rPr>
          <w:instrText xml:space="preserve"> PAGEREF _Toc65850742 \h </w:instrText>
        </w:r>
        <w:r w:rsidR="00C079D1">
          <w:rPr>
            <w:noProof/>
            <w:webHidden/>
          </w:rPr>
        </w:r>
        <w:r w:rsidR="00C079D1">
          <w:rPr>
            <w:noProof/>
            <w:webHidden/>
          </w:rPr>
          <w:fldChar w:fldCharType="separate"/>
        </w:r>
        <w:r w:rsidR="00C079D1">
          <w:rPr>
            <w:noProof/>
            <w:webHidden/>
          </w:rPr>
          <w:t>4</w:t>
        </w:r>
        <w:r w:rsidR="00C079D1">
          <w:rPr>
            <w:noProof/>
            <w:webHidden/>
          </w:rPr>
          <w:fldChar w:fldCharType="end"/>
        </w:r>
      </w:hyperlink>
    </w:p>
    <w:p w14:paraId="5ACCFE8E" w14:textId="5B52B4AF" w:rsidR="00C079D1" w:rsidRDefault="001B2A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43" w:history="1">
        <w:r w:rsidR="00C079D1" w:rsidRPr="00AC5459">
          <w:rPr>
            <w:rStyle w:val="Hyperlink"/>
            <w:noProof/>
          </w:rPr>
          <w:t>4.</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IN-SEASON LIMITATIONS</w:t>
        </w:r>
        <w:r w:rsidR="00C079D1">
          <w:rPr>
            <w:noProof/>
            <w:webHidden/>
          </w:rPr>
          <w:tab/>
        </w:r>
        <w:r w:rsidR="00C079D1">
          <w:rPr>
            <w:noProof/>
            <w:webHidden/>
          </w:rPr>
          <w:fldChar w:fldCharType="begin"/>
        </w:r>
        <w:r w:rsidR="00C079D1">
          <w:rPr>
            <w:noProof/>
            <w:webHidden/>
          </w:rPr>
          <w:instrText xml:space="preserve"> PAGEREF _Toc65850743 \h </w:instrText>
        </w:r>
        <w:r w:rsidR="00C079D1">
          <w:rPr>
            <w:noProof/>
            <w:webHidden/>
          </w:rPr>
        </w:r>
        <w:r w:rsidR="00C079D1">
          <w:rPr>
            <w:noProof/>
            <w:webHidden/>
          </w:rPr>
          <w:fldChar w:fldCharType="separate"/>
        </w:r>
        <w:r w:rsidR="00C079D1">
          <w:rPr>
            <w:noProof/>
            <w:webHidden/>
          </w:rPr>
          <w:t>4</w:t>
        </w:r>
        <w:r w:rsidR="00C079D1">
          <w:rPr>
            <w:noProof/>
            <w:webHidden/>
          </w:rPr>
          <w:fldChar w:fldCharType="end"/>
        </w:r>
      </w:hyperlink>
    </w:p>
    <w:p w14:paraId="054E8327" w14:textId="3EBC4D98" w:rsidR="00C079D1" w:rsidRDefault="001B2AEF">
      <w:pPr>
        <w:pStyle w:val="TOC2"/>
        <w:rPr>
          <w:rFonts w:asciiTheme="minorHAnsi" w:eastAsiaTheme="minorEastAsia" w:hAnsiTheme="minorHAnsi" w:cstheme="minorBidi"/>
          <w:noProof/>
          <w:sz w:val="22"/>
          <w:szCs w:val="22"/>
        </w:rPr>
      </w:pPr>
      <w:hyperlink w:anchor="_Toc65850744" w:history="1">
        <w:r w:rsidR="00C079D1" w:rsidRPr="00AC5459">
          <w:rPr>
            <w:rStyle w:val="Hyperlink"/>
            <w:noProof/>
          </w:rPr>
          <w:t>4.1. System Reliability.</w:t>
        </w:r>
        <w:r w:rsidR="00C079D1">
          <w:rPr>
            <w:noProof/>
            <w:webHidden/>
          </w:rPr>
          <w:tab/>
        </w:r>
        <w:r w:rsidR="00C079D1">
          <w:rPr>
            <w:noProof/>
            <w:webHidden/>
          </w:rPr>
          <w:fldChar w:fldCharType="begin"/>
        </w:r>
        <w:r w:rsidR="00C079D1">
          <w:rPr>
            <w:noProof/>
            <w:webHidden/>
          </w:rPr>
          <w:instrText xml:space="preserve"> PAGEREF _Toc65850744 \h </w:instrText>
        </w:r>
        <w:r w:rsidR="00C079D1">
          <w:rPr>
            <w:noProof/>
            <w:webHidden/>
          </w:rPr>
        </w:r>
        <w:r w:rsidR="00C079D1">
          <w:rPr>
            <w:noProof/>
            <w:webHidden/>
          </w:rPr>
          <w:fldChar w:fldCharType="separate"/>
        </w:r>
        <w:r w:rsidR="00C079D1">
          <w:rPr>
            <w:noProof/>
            <w:webHidden/>
          </w:rPr>
          <w:t>4</w:t>
        </w:r>
        <w:r w:rsidR="00C079D1">
          <w:rPr>
            <w:noProof/>
            <w:webHidden/>
          </w:rPr>
          <w:fldChar w:fldCharType="end"/>
        </w:r>
      </w:hyperlink>
    </w:p>
    <w:p w14:paraId="300A226C" w14:textId="79BEEA1D" w:rsidR="00C079D1" w:rsidRDefault="001B2AEF">
      <w:pPr>
        <w:pStyle w:val="TOC2"/>
        <w:rPr>
          <w:rFonts w:asciiTheme="minorHAnsi" w:eastAsiaTheme="minorEastAsia" w:hAnsiTheme="minorHAnsi" w:cstheme="minorBidi"/>
          <w:noProof/>
          <w:sz w:val="22"/>
          <w:szCs w:val="22"/>
        </w:rPr>
      </w:pPr>
      <w:hyperlink w:anchor="_Toc65850745" w:history="1">
        <w:r w:rsidR="00C079D1" w:rsidRPr="00AC5459">
          <w:rPr>
            <w:rStyle w:val="Hyperlink"/>
            <w:noProof/>
          </w:rPr>
          <w:t>4.2. Routine Starts and Stops.</w:t>
        </w:r>
        <w:r w:rsidR="00C079D1">
          <w:rPr>
            <w:noProof/>
            <w:webHidden/>
          </w:rPr>
          <w:tab/>
        </w:r>
        <w:r w:rsidR="00C079D1">
          <w:rPr>
            <w:noProof/>
            <w:webHidden/>
          </w:rPr>
          <w:fldChar w:fldCharType="begin"/>
        </w:r>
        <w:r w:rsidR="00C079D1">
          <w:rPr>
            <w:noProof/>
            <w:webHidden/>
          </w:rPr>
          <w:instrText xml:space="preserve"> PAGEREF _Toc65850745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0FD74601" w14:textId="7465B98B" w:rsidR="00C079D1" w:rsidRDefault="001B2AEF">
      <w:pPr>
        <w:pStyle w:val="TOC2"/>
        <w:rPr>
          <w:rFonts w:asciiTheme="minorHAnsi" w:eastAsiaTheme="minorEastAsia" w:hAnsiTheme="minorHAnsi" w:cstheme="minorBidi"/>
          <w:noProof/>
          <w:sz w:val="22"/>
          <w:szCs w:val="22"/>
        </w:rPr>
      </w:pPr>
      <w:hyperlink w:anchor="_Toc65850746" w:history="1">
        <w:r w:rsidR="00C079D1" w:rsidRPr="00AC5459">
          <w:rPr>
            <w:rStyle w:val="Hyperlink"/>
            <w:noProof/>
          </w:rPr>
          <w:t>4.3. Total Dissolved Gas (TDG) Mitigation.</w:t>
        </w:r>
        <w:r w:rsidR="00C079D1">
          <w:rPr>
            <w:noProof/>
            <w:webHidden/>
          </w:rPr>
          <w:tab/>
        </w:r>
        <w:r w:rsidR="00C079D1">
          <w:rPr>
            <w:noProof/>
            <w:webHidden/>
          </w:rPr>
          <w:fldChar w:fldCharType="begin"/>
        </w:r>
        <w:r w:rsidR="00C079D1">
          <w:rPr>
            <w:noProof/>
            <w:webHidden/>
          </w:rPr>
          <w:instrText xml:space="preserve"> PAGEREF _Toc65850746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50A553C0" w14:textId="423E509B" w:rsidR="00C079D1" w:rsidRDefault="001B2AEF">
      <w:pPr>
        <w:pStyle w:val="TOC2"/>
        <w:rPr>
          <w:rFonts w:asciiTheme="minorHAnsi" w:eastAsiaTheme="minorEastAsia" w:hAnsiTheme="minorHAnsi" w:cstheme="minorBidi"/>
          <w:noProof/>
          <w:sz w:val="22"/>
          <w:szCs w:val="22"/>
        </w:rPr>
      </w:pPr>
      <w:hyperlink w:anchor="_Toc65850747" w:history="1">
        <w:r w:rsidR="00C079D1" w:rsidRPr="00AC5459">
          <w:rPr>
            <w:rStyle w:val="Hyperlink"/>
            <w:noProof/>
          </w:rPr>
          <w:t>4.4. Coordinated Fishery Operations.</w:t>
        </w:r>
        <w:r w:rsidR="00C079D1">
          <w:rPr>
            <w:noProof/>
            <w:webHidden/>
          </w:rPr>
          <w:tab/>
        </w:r>
        <w:r w:rsidR="00C079D1">
          <w:rPr>
            <w:noProof/>
            <w:webHidden/>
          </w:rPr>
          <w:fldChar w:fldCharType="begin"/>
        </w:r>
        <w:r w:rsidR="00C079D1">
          <w:rPr>
            <w:noProof/>
            <w:webHidden/>
          </w:rPr>
          <w:instrText xml:space="preserve"> PAGEREF _Toc65850747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718AE036" w14:textId="1769FB51" w:rsidR="00C079D1" w:rsidRDefault="001B2AEF">
      <w:pPr>
        <w:pStyle w:val="TOC2"/>
        <w:rPr>
          <w:rFonts w:asciiTheme="minorHAnsi" w:eastAsiaTheme="minorEastAsia" w:hAnsiTheme="minorHAnsi" w:cstheme="minorBidi"/>
          <w:noProof/>
          <w:sz w:val="22"/>
          <w:szCs w:val="22"/>
        </w:rPr>
      </w:pPr>
      <w:hyperlink w:anchor="_Toc65850748" w:history="1">
        <w:r w:rsidR="00C079D1" w:rsidRPr="00AC5459">
          <w:rPr>
            <w:rStyle w:val="Hyperlink"/>
            <w:noProof/>
          </w:rPr>
          <w:t>4.5. Transport Projects.</w:t>
        </w:r>
        <w:r w:rsidR="00C079D1">
          <w:rPr>
            <w:noProof/>
            <w:webHidden/>
          </w:rPr>
          <w:tab/>
        </w:r>
        <w:r w:rsidR="00C079D1">
          <w:rPr>
            <w:noProof/>
            <w:webHidden/>
          </w:rPr>
          <w:fldChar w:fldCharType="begin"/>
        </w:r>
        <w:r w:rsidR="00C079D1">
          <w:rPr>
            <w:noProof/>
            <w:webHidden/>
          </w:rPr>
          <w:instrText xml:space="preserve"> PAGEREF _Toc65850748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77C8744B" w14:textId="4747271C" w:rsidR="00C079D1" w:rsidRDefault="001B2AEF">
      <w:pPr>
        <w:pStyle w:val="TOC2"/>
        <w:rPr>
          <w:rFonts w:asciiTheme="minorHAnsi" w:eastAsiaTheme="minorEastAsia" w:hAnsiTheme="minorHAnsi" w:cstheme="minorBidi"/>
          <w:noProof/>
          <w:sz w:val="22"/>
          <w:szCs w:val="22"/>
        </w:rPr>
      </w:pPr>
      <w:hyperlink w:anchor="_Toc65850749" w:history="1">
        <w:r w:rsidR="00C079D1" w:rsidRPr="00AC5459">
          <w:rPr>
            <w:rStyle w:val="Hyperlink"/>
            <w:noProof/>
          </w:rPr>
          <w:t>4.6. Routine Maintenance and Testing.</w:t>
        </w:r>
        <w:r w:rsidR="00C079D1">
          <w:rPr>
            <w:noProof/>
            <w:webHidden/>
          </w:rPr>
          <w:tab/>
        </w:r>
        <w:r w:rsidR="00C079D1">
          <w:rPr>
            <w:noProof/>
            <w:webHidden/>
          </w:rPr>
          <w:fldChar w:fldCharType="begin"/>
        </w:r>
        <w:r w:rsidR="00C079D1">
          <w:rPr>
            <w:noProof/>
            <w:webHidden/>
          </w:rPr>
          <w:instrText xml:space="preserve"> PAGEREF _Toc65850749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60226B0A" w14:textId="449D40C6" w:rsidR="00C079D1" w:rsidRDefault="001B2AEF">
      <w:pPr>
        <w:pStyle w:val="TOC2"/>
        <w:rPr>
          <w:rFonts w:asciiTheme="minorHAnsi" w:eastAsiaTheme="minorEastAsia" w:hAnsiTheme="minorHAnsi" w:cstheme="minorBidi"/>
          <w:noProof/>
          <w:sz w:val="22"/>
          <w:szCs w:val="22"/>
        </w:rPr>
      </w:pPr>
      <w:hyperlink w:anchor="_Toc65850750" w:history="1">
        <w:r w:rsidR="00C079D1" w:rsidRPr="00AC5459">
          <w:rPr>
            <w:rStyle w:val="Hyperlink"/>
            <w:noProof/>
          </w:rPr>
          <w:t>4.7. Contingency Reserves</w:t>
        </w:r>
        <w:r w:rsidR="00C079D1">
          <w:rPr>
            <w:noProof/>
            <w:webHidden/>
          </w:rPr>
          <w:tab/>
        </w:r>
        <w:r w:rsidR="00C079D1">
          <w:rPr>
            <w:noProof/>
            <w:webHidden/>
          </w:rPr>
          <w:fldChar w:fldCharType="begin"/>
        </w:r>
        <w:r w:rsidR="00C079D1">
          <w:rPr>
            <w:noProof/>
            <w:webHidden/>
          </w:rPr>
          <w:instrText xml:space="preserve"> PAGEREF _Toc65850750 \h </w:instrText>
        </w:r>
        <w:r w:rsidR="00C079D1">
          <w:rPr>
            <w:noProof/>
            <w:webHidden/>
          </w:rPr>
        </w:r>
        <w:r w:rsidR="00C079D1">
          <w:rPr>
            <w:noProof/>
            <w:webHidden/>
          </w:rPr>
          <w:fldChar w:fldCharType="separate"/>
        </w:r>
        <w:r w:rsidR="00C079D1">
          <w:rPr>
            <w:noProof/>
            <w:webHidden/>
          </w:rPr>
          <w:t>5</w:t>
        </w:r>
        <w:r w:rsidR="00C079D1">
          <w:rPr>
            <w:noProof/>
            <w:webHidden/>
          </w:rPr>
          <w:fldChar w:fldCharType="end"/>
        </w:r>
      </w:hyperlink>
    </w:p>
    <w:p w14:paraId="237139F9" w14:textId="51ACFEE0" w:rsidR="00C079D1" w:rsidRDefault="001B2AEF">
      <w:pPr>
        <w:pStyle w:val="TOC2"/>
        <w:rPr>
          <w:rFonts w:asciiTheme="minorHAnsi" w:eastAsiaTheme="minorEastAsia" w:hAnsiTheme="minorHAnsi" w:cstheme="minorBidi"/>
          <w:noProof/>
          <w:sz w:val="22"/>
          <w:szCs w:val="22"/>
        </w:rPr>
      </w:pPr>
      <w:hyperlink w:anchor="_Toc65850751" w:history="1">
        <w:r w:rsidR="00C079D1" w:rsidRPr="00AC5459">
          <w:rPr>
            <w:rStyle w:val="Hyperlink"/>
            <w:noProof/>
          </w:rPr>
          <w:t>4.8. Balancing Reserves</w:t>
        </w:r>
        <w:r w:rsidR="00C079D1">
          <w:rPr>
            <w:noProof/>
            <w:webHidden/>
          </w:rPr>
          <w:tab/>
        </w:r>
        <w:r w:rsidR="00C079D1">
          <w:rPr>
            <w:noProof/>
            <w:webHidden/>
          </w:rPr>
          <w:fldChar w:fldCharType="begin"/>
        </w:r>
        <w:r w:rsidR="00C079D1">
          <w:rPr>
            <w:noProof/>
            <w:webHidden/>
          </w:rPr>
          <w:instrText xml:space="preserve"> PAGEREF _Toc65850751 \h </w:instrText>
        </w:r>
        <w:r w:rsidR="00C079D1">
          <w:rPr>
            <w:noProof/>
            <w:webHidden/>
          </w:rPr>
        </w:r>
        <w:r w:rsidR="00C079D1">
          <w:rPr>
            <w:noProof/>
            <w:webHidden/>
          </w:rPr>
          <w:fldChar w:fldCharType="separate"/>
        </w:r>
        <w:r w:rsidR="00C079D1">
          <w:rPr>
            <w:noProof/>
            <w:webHidden/>
          </w:rPr>
          <w:t>6</w:t>
        </w:r>
        <w:r w:rsidR="00C079D1">
          <w:rPr>
            <w:noProof/>
            <w:webHidden/>
          </w:rPr>
          <w:fldChar w:fldCharType="end"/>
        </w:r>
      </w:hyperlink>
    </w:p>
    <w:p w14:paraId="49C9C90B" w14:textId="01091691" w:rsidR="00C079D1" w:rsidRDefault="001B2AEF">
      <w:pPr>
        <w:pStyle w:val="TOC2"/>
        <w:rPr>
          <w:rFonts w:asciiTheme="minorHAnsi" w:eastAsiaTheme="minorEastAsia" w:hAnsiTheme="minorHAnsi" w:cstheme="minorBidi"/>
          <w:noProof/>
          <w:sz w:val="22"/>
          <w:szCs w:val="22"/>
        </w:rPr>
      </w:pPr>
      <w:hyperlink w:anchor="_Toc65850752" w:history="1">
        <w:r w:rsidR="00C079D1" w:rsidRPr="00AC5459">
          <w:rPr>
            <w:rStyle w:val="Hyperlink"/>
            <w:noProof/>
          </w:rPr>
          <w:t>4.9. Other.</w:t>
        </w:r>
        <w:r w:rsidR="00C079D1">
          <w:rPr>
            <w:noProof/>
            <w:webHidden/>
          </w:rPr>
          <w:tab/>
        </w:r>
        <w:r w:rsidR="00C079D1">
          <w:rPr>
            <w:noProof/>
            <w:webHidden/>
          </w:rPr>
          <w:fldChar w:fldCharType="begin"/>
        </w:r>
        <w:r w:rsidR="00C079D1">
          <w:rPr>
            <w:noProof/>
            <w:webHidden/>
          </w:rPr>
          <w:instrText xml:space="preserve"> PAGEREF _Toc65850752 \h </w:instrText>
        </w:r>
        <w:r w:rsidR="00C079D1">
          <w:rPr>
            <w:noProof/>
            <w:webHidden/>
          </w:rPr>
        </w:r>
        <w:r w:rsidR="00C079D1">
          <w:rPr>
            <w:noProof/>
            <w:webHidden/>
          </w:rPr>
          <w:fldChar w:fldCharType="separate"/>
        </w:r>
        <w:r w:rsidR="00C079D1">
          <w:rPr>
            <w:noProof/>
            <w:webHidden/>
          </w:rPr>
          <w:t>6</w:t>
        </w:r>
        <w:r w:rsidR="00C079D1">
          <w:rPr>
            <w:noProof/>
            <w:webHidden/>
          </w:rPr>
          <w:fldChar w:fldCharType="end"/>
        </w:r>
      </w:hyperlink>
    </w:p>
    <w:p w14:paraId="5D327EB1" w14:textId="6491E4E4" w:rsidR="00C079D1" w:rsidRDefault="001B2AE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5850753" w:history="1">
        <w:r w:rsidR="00C079D1" w:rsidRPr="00AC5459">
          <w:rPr>
            <w:rStyle w:val="Hyperlink"/>
            <w:noProof/>
          </w:rPr>
          <w:t>5.</w:t>
        </w:r>
        <w:r w:rsidR="00C079D1">
          <w:rPr>
            <w:rFonts w:asciiTheme="minorHAnsi" w:eastAsiaTheme="minorEastAsia" w:hAnsiTheme="minorHAnsi" w:cstheme="minorBidi"/>
            <w:b w:val="0"/>
            <w:bCs w:val="0"/>
            <w:caps w:val="0"/>
            <w:noProof/>
            <w:sz w:val="22"/>
            <w:szCs w:val="22"/>
          </w:rPr>
          <w:tab/>
        </w:r>
        <w:r w:rsidR="00C079D1" w:rsidRPr="00AC5459">
          <w:rPr>
            <w:rStyle w:val="Hyperlink"/>
            <w:noProof/>
          </w:rPr>
          <w:t>QUALITY CONTROL</w:t>
        </w:r>
        <w:r w:rsidR="00C079D1">
          <w:rPr>
            <w:noProof/>
            <w:webHidden/>
          </w:rPr>
          <w:tab/>
        </w:r>
        <w:r w:rsidR="00C079D1">
          <w:rPr>
            <w:noProof/>
            <w:webHidden/>
          </w:rPr>
          <w:fldChar w:fldCharType="begin"/>
        </w:r>
        <w:r w:rsidR="00C079D1">
          <w:rPr>
            <w:noProof/>
            <w:webHidden/>
          </w:rPr>
          <w:instrText xml:space="preserve"> PAGEREF _Toc65850753 \h </w:instrText>
        </w:r>
        <w:r w:rsidR="00C079D1">
          <w:rPr>
            <w:noProof/>
            <w:webHidden/>
          </w:rPr>
        </w:r>
        <w:r w:rsidR="00C079D1">
          <w:rPr>
            <w:noProof/>
            <w:webHidden/>
          </w:rPr>
          <w:fldChar w:fldCharType="separate"/>
        </w:r>
        <w:r w:rsidR="00C079D1">
          <w:rPr>
            <w:noProof/>
            <w:webHidden/>
          </w:rPr>
          <w:t>6</w:t>
        </w:r>
        <w:r w:rsidR="00C079D1">
          <w:rPr>
            <w:noProof/>
            <w:webHidden/>
          </w:rPr>
          <w:fldChar w:fldCharType="end"/>
        </w:r>
      </w:hyperlink>
    </w:p>
    <w:p w14:paraId="2A473862" w14:textId="75332204" w:rsidR="00B35D96" w:rsidRPr="0056606C" w:rsidRDefault="00AB01C2" w:rsidP="00B35D96">
      <w:pPr>
        <w:rPr>
          <w:szCs w:val="24"/>
        </w:rPr>
      </w:pPr>
      <w:r>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65850733"/>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w:t>
      </w:r>
      <w:proofErr w:type="gramStart"/>
      <w:r w:rsidRPr="00B35D96">
        <w:t>as a means to</w:t>
      </w:r>
      <w:proofErr w:type="gramEnd"/>
      <w:r w:rsidRPr="00B35D96">
        <w:t xml:space="preserve">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 xml:space="preserve">Passage of juvenile salmon and steelhead through turbines has also been reduced, but not eliminated, by implementing a modified spring spill operation that includes increased spill of up to 125% total dissolved gas (TDG)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proofErr w:type="gramStart"/>
      <w:r w:rsidR="0073143A">
        <w:t xml:space="preserve">similar </w:t>
      </w:r>
      <w:r w:rsidR="00F1032E">
        <w:t>to</w:t>
      </w:r>
      <w:proofErr w:type="gramEnd"/>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65850734"/>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65850735"/>
      <w:r w:rsidRPr="00B35D96">
        <w:t>GUIDELINES</w:t>
      </w:r>
      <w:bookmarkEnd w:id="5"/>
      <w:r w:rsidR="00861C07" w:rsidRPr="00B35D96">
        <w:t xml:space="preserve"> </w:t>
      </w:r>
    </w:p>
    <w:p w14:paraId="5E1BEE12" w14:textId="77777777" w:rsidR="00900A39" w:rsidRDefault="00900A39" w:rsidP="00F02499">
      <w:pPr>
        <w:pStyle w:val="FPP2"/>
      </w:pPr>
      <w:bookmarkStart w:id="6" w:name="_Toc65850736"/>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 xml:space="preserve">(LSN) </w:t>
      </w:r>
      <w:r w:rsidR="00323BFD">
        <w:t xml:space="preserve">and lower Columbia </w:t>
      </w:r>
      <w:r w:rsidR="0096398A">
        <w:t xml:space="preserve">(LCOL)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65850737"/>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r w:rsidR="00EF082A">
        <w:t xml:space="preserve">LSN </w:t>
      </w:r>
      <w:r w:rsidR="00DE2623" w:rsidRPr="00F45A68">
        <w:t>and</w:t>
      </w:r>
      <w:r w:rsidR="0096398A">
        <w:t xml:space="preserve"> </w:t>
      </w:r>
      <w:r w:rsidR="00EF082A">
        <w:t xml:space="preserve">LCOL </w:t>
      </w:r>
      <w:r w:rsidR="00DE2623" w:rsidRPr="00F45A68">
        <w:t xml:space="preserve">projects above the </w:t>
      </w:r>
      <w:r w:rsidR="00334677">
        <w:t xml:space="preserve">1% range for the </w:t>
      </w:r>
      <w:r w:rsidR="00DE2623" w:rsidRPr="00F45A68">
        <w:t xml:space="preserve">deployment of both contingency and balancing reserves </w:t>
      </w:r>
      <w:proofErr w:type="gramStart"/>
      <w:r w:rsidR="00DE2623" w:rsidRPr="00F45A68">
        <w:t>and also</w:t>
      </w:r>
      <w:proofErr w:type="gramEnd"/>
      <w:r w:rsidR="00DE2623" w:rsidRPr="00F45A68">
        <w:t xml:space="preserve"> to mitigate total dissolved gas (TDG)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r w:rsidRPr="00F45A68">
        <w:t>LCOL and LSN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for reserve deployment and TDG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w:t>
      </w:r>
      <w:proofErr w:type="spellStart"/>
      <w:r w:rsidRPr="00BD1668">
        <w:rPr>
          <w:b/>
        </w:rPr>
        <w:t>i</w:t>
      </w:r>
      <w:proofErr w:type="spellEnd"/>
      <w:r w:rsidRPr="00BD1668">
        <w:rPr>
          <w:b/>
        </w:rPr>
        <w:t>)</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r w:rsidR="00300146">
        <w:t>LSN</w:t>
      </w:r>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r w:rsidR="00300146">
        <w:t>LCOL</w:t>
      </w:r>
      <w:r>
        <w:t xml:space="preserve"> projects</w:t>
      </w:r>
      <w:r w:rsidR="00213482">
        <w:t>.</w:t>
      </w:r>
    </w:p>
    <w:p w14:paraId="7E07DD51" w14:textId="668DA47D" w:rsidR="00B35D96" w:rsidRDefault="00094D0B" w:rsidP="00B35D96">
      <w:pPr>
        <w:pStyle w:val="FPP2"/>
      </w:pPr>
      <w:bookmarkStart w:id="10" w:name="_Toc65850738"/>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LCOL and LSN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mitigation of TDG</w:t>
      </w:r>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w:t>
      </w:r>
      <w:proofErr w:type="spellStart"/>
      <w:r w:rsidRPr="00BD1668">
        <w:rPr>
          <w:b/>
        </w:rPr>
        <w:t>i</w:t>
      </w:r>
      <w:proofErr w:type="spellEnd"/>
      <w:r w:rsidRPr="00BD1668">
        <w:rPr>
          <w:b/>
        </w:rPr>
        <w:t>)</w:t>
      </w:r>
      <w:r>
        <w:t xml:space="preserve"> Off-season operating</w:t>
      </w:r>
      <w:r w:rsidR="0010050F">
        <w:t xml:space="preserve"> period is September 1 through</w:t>
      </w:r>
      <w:r>
        <w:t xml:space="preserve"> April 2 for </w:t>
      </w:r>
      <w:r w:rsidR="007A75D2">
        <w:t>all LSN</w:t>
      </w:r>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r w:rsidR="007A75D2">
        <w:t>LCOL</w:t>
      </w:r>
      <w:r w:rsidR="00213482">
        <w:t xml:space="preserve"> projects.</w:t>
      </w:r>
    </w:p>
    <w:p w14:paraId="532775BC" w14:textId="77777777" w:rsidR="00B35D96" w:rsidRDefault="00EB1C79" w:rsidP="00B35D96">
      <w:pPr>
        <w:pStyle w:val="FPP2"/>
      </w:pPr>
      <w:bookmarkStart w:id="11" w:name="_Toc65850739"/>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65850740"/>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65850741"/>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gencies sufficient time to include system operational changes in their planning activities.  Sufficient time is defined as the time needed to enter the information into GDACs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 xml:space="preserve">If </w:t>
      </w:r>
      <w:proofErr w:type="gramStart"/>
      <w:r w:rsidR="00EB1C79" w:rsidRPr="003B2632">
        <w:t>an</w:t>
      </w:r>
      <w:r w:rsidRPr="003B2632">
        <w:t xml:space="preserve"> emergency situation</w:t>
      </w:r>
      <w:proofErr w:type="gramEnd"/>
      <w:r w:rsidRPr="003B2632">
        <w:t xml:space="preserve">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r w:rsidR="00D26E31" w:rsidRPr="00370A64">
        <w:rPr>
          <w:b/>
        </w:rPr>
        <w:t>TDG</w:t>
      </w:r>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65850742"/>
      <w:r w:rsidRPr="00215027">
        <w:t>Grand Coulee (GCL) and Chief Joseph (CHJ)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GCL and CHJ will be fully used whenever possible before generation requests to LCOL and LSN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65850743"/>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65850744"/>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(NWPP), Western Electricity Coordinating Council (WECC)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w:t>
      </w:r>
      <w:proofErr w:type="gramStart"/>
      <w:r w:rsidRPr="002319C0">
        <w:t>as a consequence of</w:t>
      </w:r>
      <w:proofErr w:type="gramEnd"/>
      <w:r w:rsidRPr="002319C0">
        <w:t xml:space="preserve">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65850745"/>
      <w:r w:rsidRPr="00B35D96">
        <w:lastRenderedPageBreak/>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47CDA32A" w:rsidR="008369ED" w:rsidRDefault="00861C07" w:rsidP="00900A39">
      <w:pPr>
        <w:pStyle w:val="FPP3"/>
      </w:pPr>
      <w:r w:rsidRPr="008369ED">
        <w:t>Routine starting and stopping of generation units are unavoidable deviations, usually short duration but on occasion can extend beyond the 5</w:t>
      </w:r>
      <w:r w:rsidR="00DD14CA">
        <w:t>-</w:t>
      </w:r>
      <w:r w:rsidRPr="008369ED">
        <w:t xml:space="preserve">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65850746"/>
      <w:r w:rsidRPr="00035C1B">
        <w:t>Total Dissolved Gas (TDG)</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TDG </w:t>
      </w:r>
      <w:r w:rsidR="00EE1429">
        <w:t>production</w:t>
      </w:r>
      <w:r>
        <w:t xml:space="preserve">. The purpose of mitigating TDG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TDG. </w:t>
      </w:r>
      <w:r w:rsidR="002F4D23">
        <w:t>If load is not available, involuntary spill will likely occur and may result in TDG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r w:rsidR="00EE1429">
        <w:t xml:space="preserve">TDG management may occur at lower flows if there are a high number of turbine outages; however, the intent of this operation is to distribute flow across all available turbines at each project when </w:t>
      </w:r>
      <w:r w:rsidR="00731CE2">
        <w:t xml:space="preserve">possible before TDG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65850747"/>
      <w:r w:rsidRPr="00B35D96">
        <w:t>Coordinated Fishery Operations</w:t>
      </w:r>
      <w:r w:rsidR="00900A39">
        <w:t>.</w:t>
      </w:r>
      <w:bookmarkEnd w:id="28"/>
      <w:r w:rsidRPr="002319C0">
        <w:t xml:space="preserve">  </w:t>
      </w:r>
    </w:p>
    <w:p w14:paraId="0659D191" w14:textId="56DD58A1" w:rsidR="008369ED" w:rsidRDefault="008369ED" w:rsidP="00821CC1">
      <w:pPr>
        <w:pStyle w:val="FPP3"/>
      </w:pPr>
      <w:proofErr w:type="gramStart"/>
      <w:r w:rsidRPr="002319C0">
        <w:t>In the event that</w:t>
      </w:r>
      <w:proofErr w:type="gramEnd"/>
      <w:r w:rsidRPr="002319C0">
        <w:t xml:space="preserve">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65850748"/>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65850749"/>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65850750"/>
      <w:r>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w:t>
      </w:r>
      <w:r>
        <w:lastRenderedPageBreak/>
        <w:t>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65850751"/>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w:t>
      </w:r>
      <w:proofErr w:type="gramStart"/>
      <w:r>
        <w:t>e.g.</w:t>
      </w:r>
      <w:proofErr w:type="gramEnd"/>
      <w:r>
        <w:t xml:space="preserve">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65850752"/>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65850753"/>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proofErr w:type="gramStart"/>
            <w:r w:rsidRPr="00CA532C">
              <w:rPr>
                <w:rFonts w:ascii="Calibri" w:hAnsi="Calibri" w:cs="Calibri"/>
                <w:sz w:val="22"/>
                <w:szCs w:val="22"/>
              </w:rPr>
              <w:t>band</w:t>
            </w:r>
            <w:proofErr w:type="gramEnd"/>
            <w:r w:rsidRPr="00CA532C">
              <w:rPr>
                <w:rFonts w:ascii="Calibri" w:hAnsi="Calibri" w:cs="Calibri"/>
                <w:sz w:val="22"/>
                <w:szCs w:val="22"/>
              </w:rPr>
              <w:t xml:space="preserve">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w:t>
            </w:r>
            <w:proofErr w:type="gramStart"/>
            <w:r w:rsidRPr="00CA532C">
              <w:rPr>
                <w:rFonts w:ascii="Calibri" w:hAnsi="Calibri" w:cs="Calibri"/>
                <w:sz w:val="22"/>
                <w:szCs w:val="22"/>
              </w:rPr>
              <w:t>testing</w:t>
            </w:r>
            <w:proofErr w:type="gramEnd"/>
            <w:r w:rsidRPr="00CA532C">
              <w:rPr>
                <w:rFonts w:ascii="Calibri" w:hAnsi="Calibri" w:cs="Calibri"/>
                <w:sz w:val="22"/>
                <w:szCs w:val="22"/>
              </w:rPr>
              <w:t xml:space="preserve">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AGC)</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TDG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5BBC" w14:textId="77777777" w:rsidR="001B2AEF" w:rsidRDefault="001B2AEF">
      <w:r>
        <w:separator/>
      </w:r>
    </w:p>
  </w:endnote>
  <w:endnote w:type="continuationSeparator" w:id="0">
    <w:p w14:paraId="7DC762B2" w14:textId="77777777" w:rsidR="001B2AEF" w:rsidRDefault="001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A2DC" w14:textId="77777777" w:rsidR="001B2AEF" w:rsidRDefault="001B2AEF">
      <w:r>
        <w:separator/>
      </w:r>
    </w:p>
  </w:footnote>
  <w:footnote w:type="continuationSeparator" w:id="0">
    <w:p w14:paraId="00449FA1" w14:textId="77777777" w:rsidR="001B2AEF" w:rsidRDefault="001B2AEF">
      <w:r>
        <w:continuationSeparator/>
      </w:r>
    </w:p>
  </w:footnote>
  <w:footnote w:id="1">
    <w:p w14:paraId="67B02295" w14:textId="16DA897D" w:rsidR="00194B0D" w:rsidRPr="00194B0D" w:rsidRDefault="00194B0D" w:rsidP="00194B0D">
      <w:pPr>
        <w:autoSpaceDE w:val="0"/>
        <w:autoSpaceDN w:val="0"/>
        <w:adjustRightInd w:val="0"/>
        <w:spacing w:after="0"/>
        <w:rPr>
          <w:sz w:val="18"/>
          <w:szCs w:val="18"/>
        </w:rPr>
      </w:pPr>
      <w:r w:rsidRPr="00194B0D">
        <w:rPr>
          <w:rStyle w:val="FootnoteReference"/>
          <w:sz w:val="18"/>
          <w:szCs w:val="18"/>
        </w:rPr>
        <w:footnoteRef/>
      </w:r>
      <w:r w:rsidRPr="00194B0D">
        <w:rPr>
          <w:sz w:val="18"/>
          <w:szCs w:val="18"/>
        </w:rPr>
        <w:t xml:space="preserve"> </w:t>
      </w:r>
      <w:r w:rsidRPr="00E94404">
        <w:rPr>
          <w:sz w:val="18"/>
          <w:szCs w:val="18"/>
        </w:rPr>
        <w:t xml:space="preserve">Long, C., and W. Marquette. 1967. </w:t>
      </w:r>
      <w:r w:rsidRPr="00E94404">
        <w:rPr>
          <w:i/>
          <w:sz w:val="18"/>
          <w:szCs w:val="18"/>
        </w:rPr>
        <w:t>Research on fingerling mortality in Kaplan turbines.</w:t>
      </w:r>
      <w:r w:rsidRPr="00E94404">
        <w:rPr>
          <w:sz w:val="18"/>
          <w:szCs w:val="18"/>
        </w:rPr>
        <w:t xml:space="preserve"> Bureau of Commercial Fisheries, Seattle.</w:t>
      </w:r>
      <w:r>
        <w:rPr>
          <w:sz w:val="18"/>
          <w:szCs w:val="18"/>
        </w:rPr>
        <w:t xml:space="preserve"> </w:t>
      </w:r>
      <w:r>
        <w:rPr>
          <w:i/>
          <w:sz w:val="18"/>
          <w:szCs w:val="18"/>
        </w:rPr>
        <w:t>See also</w:t>
      </w:r>
      <w:r>
        <w:rPr>
          <w:sz w:val="18"/>
          <w:szCs w:val="18"/>
        </w:rP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Pr>
          <w:rStyle w:val="FootnoteReference"/>
        </w:rPr>
        <w:footnoteRef/>
      </w:r>
      <w:r>
        <w:t xml:space="preserve"> </w:t>
      </w:r>
      <w:r w:rsidRPr="00E94404">
        <w:rPr>
          <w:sz w:val="18"/>
          <w:szCs w:val="18"/>
        </w:rPr>
        <w:t xml:space="preserve">Skalski, J., D. Mathur, and P. Heisey. 2002. Effects of turbine operating efficiency on smolt passage survival.  </w:t>
      </w:r>
      <w:r w:rsidRPr="00E94404">
        <w:rPr>
          <w:i/>
          <w:sz w:val="18"/>
          <w:szCs w:val="18"/>
        </w:rPr>
        <w:t>North American Journal of Fisheries Management</w:t>
      </w:r>
      <w:r w:rsidRPr="00E94404">
        <w:rPr>
          <w:sz w:val="18"/>
          <w:szCs w:val="18"/>
        </w:rPr>
        <w:t xml:space="preserve"> 22:1193-1200. Weiland, MA, CM Woodley, TJ Carlson, B Rayamajhi, and J Kim. 2015. </w:t>
      </w:r>
      <w:r w:rsidRPr="00E94404">
        <w:rPr>
          <w:i/>
          <w:iCs/>
          <w:sz w:val="18"/>
          <w:szCs w:val="18"/>
        </w:rPr>
        <w:t>Systematic Review of JSATS</w:t>
      </w:r>
      <w:r>
        <w:rPr>
          <w:i/>
          <w:iCs/>
          <w:sz w:val="18"/>
          <w:szCs w:val="18"/>
        </w:rPr>
        <w:t xml:space="preserve"> </w:t>
      </w:r>
      <w:r w:rsidRPr="00E94404">
        <w:rPr>
          <w:i/>
          <w:iCs/>
          <w:sz w:val="18"/>
          <w:szCs w:val="18"/>
        </w:rPr>
        <w:t>Passage and Survival Data at Bonneville and The Dalles Dams during Alternative Turbine and Spillbay</w:t>
      </w:r>
      <w:r>
        <w:rPr>
          <w:i/>
          <w:iCs/>
          <w:sz w:val="18"/>
          <w:szCs w:val="18"/>
        </w:rPr>
        <w:t xml:space="preserve"> </w:t>
      </w:r>
      <w:r w:rsidRPr="00E94404">
        <w:rPr>
          <w:i/>
          <w:iCs/>
          <w:sz w:val="18"/>
          <w:szCs w:val="18"/>
        </w:rPr>
        <w:t>Operations from 2008–2012</w:t>
      </w:r>
      <w:r w:rsidRPr="00E94404">
        <w:rPr>
          <w:sz w:val="18"/>
          <w:szCs w:val="18"/>
        </w:rPr>
        <w:t>. PNNL-24260. Report submitted to the U.S. Army Corps of Engineers,</w:t>
      </w:r>
      <w:r>
        <w:rPr>
          <w:sz w:val="18"/>
          <w:szCs w:val="18"/>
        </w:rPr>
        <w:t xml:space="preserve"> </w:t>
      </w:r>
      <w:r w:rsidRPr="00E94404">
        <w:rPr>
          <w:sz w:val="18"/>
          <w:szCs w:val="18"/>
        </w:rPr>
        <w:t>Portland District, Portland, Oregon, by the Pacific Northwest National Laboratory, Richland, Washington.</w:t>
      </w:r>
    </w:p>
  </w:footnote>
  <w:footnote w:id="3">
    <w:p w14:paraId="74EA5A01" w14:textId="7B16AFF2" w:rsidR="00121301" w:rsidRPr="0061089C" w:rsidRDefault="00121301" w:rsidP="0061089C">
      <w:pPr>
        <w:autoSpaceDE w:val="0"/>
        <w:autoSpaceDN w:val="0"/>
        <w:adjustRightInd w:val="0"/>
        <w:spacing w:after="0"/>
        <w:rPr>
          <w:sz w:val="18"/>
          <w:szCs w:val="18"/>
        </w:rPr>
      </w:pPr>
      <w:r>
        <w:rPr>
          <w:rStyle w:val="FootnoteReference"/>
        </w:rPr>
        <w:footnoteRef/>
      </w:r>
      <w: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2D6E4A">
        <w:rPr>
          <w:rStyle w:val="FootnoteReference"/>
          <w:rFonts w:ascii="Times New Roman" w:hAnsi="Times New Roman"/>
          <w:sz w:val="18"/>
          <w:szCs w:val="18"/>
        </w:rPr>
        <w:footnoteRef/>
      </w:r>
      <w:r w:rsidR="00B35DA4">
        <w:rPr>
          <w:rFonts w:ascii="Times New Roman" w:hAnsi="Times New Roman"/>
          <w:sz w:val="18"/>
          <w:szCs w:val="18"/>
        </w:rPr>
        <w:t xml:space="preserve"> </w:t>
      </w:r>
      <w:r w:rsidRPr="002D6E4A">
        <w:rPr>
          <w:rFonts w:ascii="Times New Roman" w:hAnsi="Times New Roman"/>
          <w:sz w:val="18"/>
          <w:szCs w:val="18"/>
        </w:rPr>
        <w:t xml:space="preserve">Best Operating Point (BOP) is used at Bonneville </w:t>
      </w:r>
      <w:r w:rsidR="00B35DA4">
        <w:rPr>
          <w:rFonts w:ascii="Times New Roman" w:hAnsi="Times New Roman"/>
          <w:sz w:val="18"/>
          <w:szCs w:val="18"/>
        </w:rPr>
        <w:t xml:space="preserve">Dam </w:t>
      </w:r>
      <w:r w:rsidRPr="002D6E4A">
        <w:rPr>
          <w:rFonts w:ascii="Times New Roman" w:hAnsi="Times New Roman"/>
          <w:sz w:val="18"/>
          <w:szCs w:val="18"/>
        </w:rPr>
        <w:t>Powerhouse One</w:t>
      </w:r>
      <w:r w:rsidR="00B35DA4">
        <w:rPr>
          <w:rFonts w:ascii="Times New Roman" w:hAnsi="Times New Roman"/>
          <w:sz w:val="18"/>
          <w:szCs w:val="18"/>
        </w:rPr>
        <w:t xml:space="preserve"> (Units 1-10)</w:t>
      </w:r>
      <w:r w:rsidRPr="002D6E4A">
        <w:rPr>
          <w:rFonts w:ascii="Times New Roman" w:hAnsi="Times New Roman"/>
          <w:sz w:val="18"/>
          <w:szCs w:val="18"/>
        </w:rPr>
        <w:t xml:space="preserve">. </w:t>
      </w:r>
    </w:p>
  </w:footnote>
  <w:footnote w:id="5">
    <w:p w14:paraId="4ED55383" w14:textId="7AE3681C" w:rsidR="002E1BA9" w:rsidRPr="00E94404" w:rsidRDefault="002E1BA9" w:rsidP="005E60B2">
      <w:pPr>
        <w:pStyle w:val="FootnoteText"/>
        <w:spacing w:after="0"/>
        <w:rPr>
          <w:rFonts w:ascii="Times New Roman" w:hAnsi="Times New Roman"/>
          <w:sz w:val="18"/>
          <w:szCs w:val="18"/>
        </w:rPr>
      </w:pPr>
      <w:r w:rsidRPr="00E94404">
        <w:rPr>
          <w:rStyle w:val="FootnoteReference"/>
          <w:rFonts w:ascii="Times New Roman" w:hAnsi="Times New Roman"/>
          <w:sz w:val="18"/>
          <w:szCs w:val="18"/>
        </w:rPr>
        <w:footnoteRef/>
      </w:r>
      <w:r w:rsidRPr="00E94404">
        <w:rPr>
          <w:rFonts w:ascii="Times New Roman" w:hAnsi="Times New Roman"/>
          <w:sz w:val="18"/>
          <w:szCs w:val="18"/>
        </w:rPr>
        <w:t xml:space="preserve">Water Management Plan, Appendix 1: Emergency Protocols </w:t>
      </w:r>
      <w:hyperlink r:id="rId1" w:history="1">
        <w:r w:rsidRPr="00E94404">
          <w:rPr>
            <w:rStyle w:val="Hyperlink"/>
            <w:rFonts w:ascii="Times New Roman" w:hAnsi="Times New Roman"/>
            <w:sz w:val="18"/>
            <w:szCs w:val="18"/>
          </w:rPr>
          <w:t>http://pweb.crohms.org/tmt/documents/wmp/2021/Appendices/Appendix_1_Emergency_Protocols_July_16_2008_with-ATTACHMENT-1.pdf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22A4" w14:textId="0518A33A" w:rsidR="00C750E3" w:rsidRPr="00370A64" w:rsidRDefault="00451EA3" w:rsidP="00370A64">
    <w:pPr>
      <w:pStyle w:val="Header"/>
      <w:spacing w:after="0"/>
      <w:jc w:val="right"/>
      <w:rPr>
        <w:rFonts w:asciiTheme="minorHAnsi" w:hAnsiTheme="minorHAnsi" w:cstheme="minorHAnsi"/>
      </w:rPr>
    </w:pPr>
    <w:r>
      <w:rPr>
        <w:rFonts w:asciiTheme="minorHAnsi" w:hAnsiTheme="minorHAnsi" w:cstheme="minorHAnsi"/>
      </w:rPr>
      <w:t>VERSION</w:t>
    </w:r>
    <w:r w:rsidR="00370A64" w:rsidRPr="001F0C8F">
      <w:rPr>
        <w:rFonts w:asciiTheme="minorHAnsi" w:hAnsiTheme="minorHAnsi" w:cstheme="minorHAnsi"/>
      </w:rPr>
      <w:t xml:space="preserve">: </w:t>
    </w:r>
    <w:r w:rsidR="00E30556">
      <w:rPr>
        <w:rFonts w:asciiTheme="minorHAnsi" w:hAnsiTheme="minorHAnsi" w:cstheme="minorHAnsi"/>
      </w:rPr>
      <w:t>4</w:t>
    </w:r>
    <w:r w:rsidR="00370A64" w:rsidRPr="001F0C8F">
      <w:rPr>
        <w:rFonts w:asciiTheme="minorHAnsi" w:hAnsiTheme="minorHAnsi" w:cstheme="minorHAnsi"/>
      </w:rPr>
      <w:t>-MAR-2021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6144" w14:textId="11FB23AE" w:rsidR="00C750E3" w:rsidRDefault="00C7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7768" w14:textId="2BCE349B" w:rsidR="00C750E3" w:rsidRPr="00370A64" w:rsidRDefault="00370A64"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w:t>
    </w:r>
    <w:r w:rsidR="003048B0">
      <w:rPr>
        <w:rFonts w:ascii="Calibri" w:hAnsi="Calibri" w:cs="Calibri"/>
        <w:sz w:val="20"/>
      </w:rPr>
      <w:t>2</w:t>
    </w:r>
    <w:r>
      <w:rPr>
        <w:rFonts w:ascii="Calibri" w:hAnsi="Calibri" w:cs="Calibri"/>
        <w:sz w:val="20"/>
      </w:rPr>
      <w:t xml:space="preserve"> Fish Passage Plan</w:t>
    </w:r>
    <w:r>
      <w:rPr>
        <w:rFonts w:ascii="Calibri" w:hAnsi="Calibri" w:cs="Calibri"/>
        <w:sz w:val="20"/>
      </w:rPr>
      <w:tab/>
      <w:t xml:space="preserve">Appendix C – </w:t>
    </w:r>
    <w:r w:rsidR="003048B0">
      <w:rPr>
        <w:rFonts w:ascii="Calibri" w:hAnsi="Calibri" w:cs="Calibri"/>
        <w:sz w:val="20"/>
      </w:rPr>
      <w:t xml:space="preserve">BPA’s </w:t>
    </w:r>
    <w:r>
      <w:rPr>
        <w:rFonts w:ascii="Calibri" w:hAnsi="Calibri" w:cs="Calibri"/>
        <w:sz w:val="20"/>
      </w:rPr>
      <w:t>Load Shaping Guidelines</w:t>
    </w:r>
    <w:r>
      <w:rPr>
        <w:rFonts w:ascii="Calibri" w:hAnsi="Calibri" w:cs="Calibri"/>
        <w:sz w:val="20"/>
      </w:rPr>
      <w:tab/>
    </w:r>
    <w:r w:rsidR="003048B0">
      <w:rPr>
        <w:rFonts w:ascii="Calibri" w:hAnsi="Calibri" w:cs="Calibri"/>
        <w:sz w:val="20"/>
      </w:rPr>
      <w:t xml:space="preserve">VERSION: </w:t>
    </w:r>
    <w:r w:rsidR="00E30556">
      <w:rPr>
        <w:rFonts w:ascii="Calibri" w:hAnsi="Calibri" w:cs="Calibri"/>
        <w:sz w:val="20"/>
      </w:rPr>
      <w:t>4</w:t>
    </w:r>
    <w:r>
      <w:rPr>
        <w:rFonts w:ascii="Calibri" w:hAnsi="Calibri" w:cs="Calibri"/>
        <w:sz w:val="20"/>
      </w:rPr>
      <w:t>-MAR-2021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5"/>
  </w:num>
  <w:num w:numId="15">
    <w:abstractNumId w:val="6"/>
  </w:num>
  <w:num w:numId="16">
    <w:abstractNumId w:val="3"/>
  </w:num>
  <w:num w:numId="17">
    <w:abstractNumId w:val="13"/>
  </w:num>
  <w:num w:numId="18">
    <w:abstractNumId w:val="10"/>
  </w:num>
  <w:num w:numId="19">
    <w:abstractNumId w:val="11"/>
  </w:num>
  <w:num w:numId="20">
    <w:abstractNumId w:val="1"/>
  </w:num>
  <w:num w:numId="21">
    <w:abstractNumId w:val="14"/>
  </w:num>
  <w:num w:numId="22">
    <w:abstractNumId w:val="12"/>
  </w:num>
  <w:num w:numId="23">
    <w:abstractNumId w:val="9"/>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2A65"/>
    <w:rsid w:val="001771BC"/>
    <w:rsid w:val="0018043C"/>
    <w:rsid w:val="00181683"/>
    <w:rsid w:val="001831A3"/>
    <w:rsid w:val="00187148"/>
    <w:rsid w:val="00190980"/>
    <w:rsid w:val="00194B0D"/>
    <w:rsid w:val="00196903"/>
    <w:rsid w:val="001A2240"/>
    <w:rsid w:val="001B2AEF"/>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F1243"/>
    <w:rsid w:val="002F1C00"/>
    <w:rsid w:val="002F2909"/>
    <w:rsid w:val="002F4600"/>
    <w:rsid w:val="002F4D23"/>
    <w:rsid w:val="00300146"/>
    <w:rsid w:val="003048B0"/>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3168"/>
    <w:rsid w:val="003B2632"/>
    <w:rsid w:val="003B46A2"/>
    <w:rsid w:val="003C1E96"/>
    <w:rsid w:val="003D3347"/>
    <w:rsid w:val="003E629B"/>
    <w:rsid w:val="0040521E"/>
    <w:rsid w:val="004155C9"/>
    <w:rsid w:val="00417356"/>
    <w:rsid w:val="0042394E"/>
    <w:rsid w:val="0042740F"/>
    <w:rsid w:val="00434FAA"/>
    <w:rsid w:val="004370F1"/>
    <w:rsid w:val="00437B44"/>
    <w:rsid w:val="00442C4B"/>
    <w:rsid w:val="00451EA3"/>
    <w:rsid w:val="00454C13"/>
    <w:rsid w:val="00462268"/>
    <w:rsid w:val="00476FC3"/>
    <w:rsid w:val="00481D04"/>
    <w:rsid w:val="00490433"/>
    <w:rsid w:val="00492B90"/>
    <w:rsid w:val="004931BD"/>
    <w:rsid w:val="0049465A"/>
    <w:rsid w:val="004C762D"/>
    <w:rsid w:val="004D5B76"/>
    <w:rsid w:val="004E1A4F"/>
    <w:rsid w:val="004F3943"/>
    <w:rsid w:val="004F4991"/>
    <w:rsid w:val="00501D86"/>
    <w:rsid w:val="005076C8"/>
    <w:rsid w:val="00515183"/>
    <w:rsid w:val="0051542A"/>
    <w:rsid w:val="00517CA3"/>
    <w:rsid w:val="005215FA"/>
    <w:rsid w:val="00521BC8"/>
    <w:rsid w:val="00523B9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24DB9"/>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D14CA"/>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64DB"/>
    <w:rsid w:val="00F3035A"/>
    <w:rsid w:val="00F306E6"/>
    <w:rsid w:val="00F34B23"/>
    <w:rsid w:val="00F413C0"/>
    <w:rsid w:val="00F43846"/>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2.xml><?xml version="1.0" encoding="utf-8"?>
<ds:datastoreItem xmlns:ds="http://schemas.openxmlformats.org/officeDocument/2006/customXml" ds:itemID="{65968159-C3D9-4C0F-9408-657C1ED6FF12}">
  <ds:schemaRefs>
    <ds:schemaRef ds:uri="http://schemas.microsoft.com/sharepoint/v3/contenttype/forms"/>
  </ds:schemaRefs>
</ds:datastoreItem>
</file>

<file path=customXml/itemProps3.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appc00 1%eff</Template>
  <TotalTime>25</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18749</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Wright, Lisa S CIV USARMY CENWD (USA)</cp:lastModifiedBy>
  <cp:revision>14</cp:revision>
  <cp:lastPrinted>2006-01-19T23:08:00Z</cp:lastPrinted>
  <dcterms:created xsi:type="dcterms:W3CDTF">2021-03-04T17:49:00Z</dcterms:created>
  <dcterms:modified xsi:type="dcterms:W3CDTF">2021-11-04T20:47:00Z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