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91" w:rsidRDefault="00D95D91"/>
    <w:p w:rsidR="007008FB" w:rsidRDefault="007008FB"/>
    <w:p w:rsidR="007008FB" w:rsidRDefault="001F76A2">
      <w:r>
        <w:t>Evaluation of proposed temperature target at Detroit Dam.</w:t>
      </w:r>
    </w:p>
    <w:p w:rsidR="001F76A2" w:rsidRDefault="001F76A2">
      <w:r>
        <w:t>Dan Turner 3/30/2016</w:t>
      </w:r>
    </w:p>
    <w:p w:rsidR="001F76A2" w:rsidRDefault="001F76A2">
      <w:r>
        <w:t>I was asked to use the Detroit temperature model to evaluate the impacts of using the proposed temperature by ODFW (Table 1).  The temperature model was developed by USGS (</w:t>
      </w:r>
      <w:r w:rsidR="00704388">
        <w:t xml:space="preserve">2015, </w:t>
      </w:r>
      <w:hyperlink r:id="rId4" w:history="1">
        <w:r w:rsidR="00704388" w:rsidRPr="009806CE">
          <w:rPr>
            <w:rStyle w:val="Hyperlink"/>
          </w:rPr>
          <w:t>http://pubs.usgs.gov/of/2015/1012/</w:t>
        </w:r>
      </w:hyperlink>
      <w:r w:rsidR="00704388">
        <w:t xml:space="preserve">).  The temperature model will use available outlets with head constraints and maximum flow ratios (40% power and 60% spill) to attempt to meet a temperature target.  The existing and proposed targets are a range but the model needs a single value, so I chose the maximum value of the range for the scenarios.  </w:t>
      </w:r>
      <w:r w:rsidR="00B543FD">
        <w:t xml:space="preserve">There are three years with different hydrology and meteorology to test the impact under different year types: ‘hot dry’, ‘cool wet’ and ‘normal’.  Note that the ‘hot dry’ is less extreme than 2015.  </w:t>
      </w:r>
    </w:p>
    <w:p w:rsidR="001F76A2" w:rsidRDefault="001F76A2"/>
    <w:p w:rsidR="001F76A2" w:rsidRDefault="001F76A2">
      <w:r>
        <w:t>Table 1.  Existing and proposed targets.</w:t>
      </w:r>
    </w:p>
    <w:tbl>
      <w:tblPr>
        <w:tblW w:w="3581" w:type="pct"/>
        <w:tblLook w:val="04A0" w:firstRow="1" w:lastRow="0" w:firstColumn="1" w:lastColumn="0" w:noHBand="0" w:noVBand="1"/>
      </w:tblPr>
      <w:tblGrid>
        <w:gridCol w:w="1385"/>
        <w:gridCol w:w="1335"/>
        <w:gridCol w:w="1440"/>
        <w:gridCol w:w="1206"/>
        <w:gridCol w:w="1492"/>
      </w:tblGrid>
      <w:tr w:rsidR="007008FB" w:rsidRPr="009F49F9" w:rsidTr="007008FB">
        <w:trPr>
          <w:trHeight w:val="144"/>
        </w:trPr>
        <w:tc>
          <w:tcPr>
            <w:tcW w:w="1010" w:type="pct"/>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7008FB" w:rsidRPr="009F49F9" w:rsidRDefault="007008FB" w:rsidP="001F76A2">
            <w:pPr>
              <w:jc w:val="center"/>
              <w:rPr>
                <w:b/>
                <w:bCs/>
                <w:color w:val="000000"/>
              </w:rPr>
            </w:pPr>
            <w:r w:rsidRPr="009F49F9">
              <w:rPr>
                <w:b/>
                <w:bCs/>
                <w:color w:val="000000"/>
              </w:rPr>
              <w:t>Month</w:t>
            </w:r>
          </w:p>
        </w:tc>
        <w:tc>
          <w:tcPr>
            <w:tcW w:w="2022" w:type="pct"/>
            <w:gridSpan w:val="2"/>
            <w:tcBorders>
              <w:top w:val="single" w:sz="8" w:space="0" w:color="auto"/>
              <w:left w:val="nil"/>
              <w:bottom w:val="single" w:sz="8" w:space="0" w:color="auto"/>
              <w:right w:val="single" w:sz="4" w:space="0" w:color="auto"/>
            </w:tcBorders>
            <w:shd w:val="clear" w:color="000000" w:fill="FFFF99"/>
          </w:tcPr>
          <w:p w:rsidR="007008FB" w:rsidRDefault="007008FB" w:rsidP="001F76A2">
            <w:pPr>
              <w:jc w:val="center"/>
              <w:rPr>
                <w:b/>
                <w:bCs/>
                <w:color w:val="000000"/>
              </w:rPr>
            </w:pPr>
            <w:r>
              <w:rPr>
                <w:b/>
                <w:bCs/>
                <w:color w:val="000000"/>
              </w:rPr>
              <w:t xml:space="preserve">Existing </w:t>
            </w:r>
            <w:r w:rsidRPr="009F49F9">
              <w:rPr>
                <w:b/>
                <w:bCs/>
                <w:color w:val="000000"/>
              </w:rPr>
              <w:t xml:space="preserve">Temperature </w:t>
            </w:r>
            <w:r>
              <w:rPr>
                <w:b/>
                <w:bCs/>
                <w:color w:val="000000"/>
              </w:rPr>
              <w:t>Targets</w:t>
            </w:r>
          </w:p>
        </w:tc>
        <w:tc>
          <w:tcPr>
            <w:tcW w:w="1968" w:type="pct"/>
            <w:gridSpan w:val="2"/>
            <w:tcBorders>
              <w:top w:val="single" w:sz="8" w:space="0" w:color="auto"/>
              <w:left w:val="single" w:sz="4" w:space="0" w:color="auto"/>
              <w:bottom w:val="single" w:sz="8" w:space="0" w:color="auto"/>
              <w:right w:val="single" w:sz="8" w:space="0" w:color="000000"/>
            </w:tcBorders>
            <w:shd w:val="clear" w:color="000000" w:fill="FFFF99"/>
            <w:vAlign w:val="center"/>
            <w:hideMark/>
          </w:tcPr>
          <w:p w:rsidR="007008FB" w:rsidRPr="009F49F9" w:rsidRDefault="007008FB" w:rsidP="001F76A2">
            <w:pPr>
              <w:jc w:val="center"/>
              <w:rPr>
                <w:b/>
                <w:bCs/>
                <w:color w:val="000000"/>
              </w:rPr>
            </w:pPr>
            <w:r>
              <w:rPr>
                <w:b/>
                <w:bCs/>
                <w:color w:val="000000"/>
              </w:rPr>
              <w:t xml:space="preserve">ODFW proposed </w:t>
            </w:r>
            <w:r w:rsidRPr="009F49F9">
              <w:rPr>
                <w:b/>
                <w:bCs/>
                <w:color w:val="000000"/>
              </w:rPr>
              <w:t xml:space="preserve">Temperature </w:t>
            </w:r>
            <w:r>
              <w:rPr>
                <w:b/>
                <w:bCs/>
                <w:color w:val="000000"/>
              </w:rPr>
              <w:t>Targets</w:t>
            </w:r>
          </w:p>
        </w:tc>
      </w:tr>
      <w:tr w:rsidR="007008FB" w:rsidRPr="009F49F9" w:rsidTr="007008FB">
        <w:trPr>
          <w:trHeight w:val="144"/>
        </w:trPr>
        <w:tc>
          <w:tcPr>
            <w:tcW w:w="1010" w:type="pct"/>
            <w:vMerge/>
            <w:tcBorders>
              <w:top w:val="single" w:sz="8" w:space="0" w:color="auto"/>
              <w:left w:val="single" w:sz="8" w:space="0" w:color="auto"/>
              <w:bottom w:val="single" w:sz="8" w:space="0" w:color="000000"/>
              <w:right w:val="single" w:sz="8" w:space="0" w:color="auto"/>
            </w:tcBorders>
            <w:vAlign w:val="center"/>
            <w:hideMark/>
          </w:tcPr>
          <w:p w:rsidR="007008FB" w:rsidRPr="009F49F9" w:rsidRDefault="007008FB" w:rsidP="001F76A2">
            <w:pPr>
              <w:rPr>
                <w:b/>
                <w:bCs/>
                <w:color w:val="000000"/>
              </w:rPr>
            </w:pPr>
          </w:p>
        </w:tc>
        <w:tc>
          <w:tcPr>
            <w:tcW w:w="973" w:type="pct"/>
            <w:tcBorders>
              <w:top w:val="nil"/>
              <w:left w:val="nil"/>
              <w:bottom w:val="single" w:sz="8" w:space="0" w:color="auto"/>
              <w:right w:val="nil"/>
            </w:tcBorders>
            <w:shd w:val="clear" w:color="000000" w:fill="FFFF99"/>
            <w:vAlign w:val="center"/>
          </w:tcPr>
          <w:p w:rsidR="007008FB" w:rsidRPr="009F49F9" w:rsidRDefault="007008FB" w:rsidP="001F76A2">
            <w:pPr>
              <w:jc w:val="center"/>
              <w:rPr>
                <w:b/>
                <w:bCs/>
                <w:color w:val="000000"/>
              </w:rPr>
            </w:pPr>
            <w:r>
              <w:rPr>
                <w:b/>
                <w:bCs/>
                <w:color w:val="000000"/>
              </w:rPr>
              <w:t xml:space="preserve">Maximum, </w:t>
            </w:r>
            <w:r w:rsidRPr="009F49F9">
              <w:rPr>
                <w:b/>
                <w:bCs/>
                <w:color w:val="000000"/>
              </w:rPr>
              <w:t>°F</w:t>
            </w:r>
          </w:p>
        </w:tc>
        <w:tc>
          <w:tcPr>
            <w:tcW w:w="1050" w:type="pct"/>
            <w:tcBorders>
              <w:top w:val="nil"/>
              <w:left w:val="nil"/>
              <w:bottom w:val="single" w:sz="8" w:space="0" w:color="auto"/>
              <w:right w:val="single" w:sz="4" w:space="0" w:color="auto"/>
            </w:tcBorders>
            <w:shd w:val="clear" w:color="000000" w:fill="FFFF99"/>
            <w:vAlign w:val="center"/>
          </w:tcPr>
          <w:p w:rsidR="007008FB" w:rsidRPr="009F49F9" w:rsidRDefault="007008FB" w:rsidP="001F76A2">
            <w:pPr>
              <w:jc w:val="center"/>
              <w:rPr>
                <w:b/>
                <w:bCs/>
                <w:color w:val="000000"/>
              </w:rPr>
            </w:pPr>
            <w:r w:rsidRPr="009F49F9">
              <w:rPr>
                <w:b/>
                <w:bCs/>
                <w:color w:val="000000"/>
              </w:rPr>
              <w:t>Minimum</w:t>
            </w:r>
            <w:r>
              <w:rPr>
                <w:b/>
                <w:bCs/>
                <w:color w:val="000000"/>
              </w:rPr>
              <w:t xml:space="preserve">, </w:t>
            </w:r>
            <w:r w:rsidRPr="009F49F9">
              <w:rPr>
                <w:b/>
                <w:bCs/>
                <w:color w:val="000000"/>
              </w:rPr>
              <w:t>°F</w:t>
            </w:r>
          </w:p>
        </w:tc>
        <w:tc>
          <w:tcPr>
            <w:tcW w:w="879" w:type="pct"/>
            <w:tcBorders>
              <w:top w:val="nil"/>
              <w:left w:val="single" w:sz="4" w:space="0" w:color="auto"/>
              <w:bottom w:val="single" w:sz="8" w:space="0" w:color="auto"/>
            </w:tcBorders>
            <w:shd w:val="clear" w:color="000000" w:fill="FFFF99"/>
            <w:vAlign w:val="center"/>
            <w:hideMark/>
          </w:tcPr>
          <w:p w:rsidR="007008FB" w:rsidRPr="009F49F9" w:rsidRDefault="007008FB" w:rsidP="001F76A2">
            <w:pPr>
              <w:jc w:val="center"/>
              <w:rPr>
                <w:b/>
                <w:bCs/>
                <w:color w:val="000000"/>
              </w:rPr>
            </w:pPr>
            <w:r>
              <w:rPr>
                <w:b/>
                <w:bCs/>
                <w:color w:val="000000"/>
              </w:rPr>
              <w:t xml:space="preserve">Maximum, </w:t>
            </w:r>
            <w:r w:rsidRPr="009F49F9">
              <w:rPr>
                <w:b/>
                <w:bCs/>
                <w:color w:val="000000"/>
              </w:rPr>
              <w:t>°F</w:t>
            </w:r>
          </w:p>
        </w:tc>
        <w:tc>
          <w:tcPr>
            <w:tcW w:w="1089" w:type="pct"/>
            <w:tcBorders>
              <w:top w:val="nil"/>
              <w:bottom w:val="single" w:sz="8" w:space="0" w:color="auto"/>
              <w:right w:val="single" w:sz="8" w:space="0" w:color="auto"/>
            </w:tcBorders>
            <w:shd w:val="clear" w:color="000000" w:fill="FFFF99"/>
            <w:vAlign w:val="center"/>
            <w:hideMark/>
          </w:tcPr>
          <w:p w:rsidR="007008FB" w:rsidRPr="009F49F9" w:rsidRDefault="007008FB" w:rsidP="001F76A2">
            <w:pPr>
              <w:jc w:val="center"/>
              <w:rPr>
                <w:b/>
                <w:bCs/>
                <w:color w:val="000000"/>
              </w:rPr>
            </w:pPr>
            <w:r w:rsidRPr="009F49F9">
              <w:rPr>
                <w:b/>
                <w:bCs/>
                <w:color w:val="000000"/>
              </w:rPr>
              <w:t>Minimum</w:t>
            </w:r>
            <w:r>
              <w:rPr>
                <w:b/>
                <w:bCs/>
                <w:color w:val="000000"/>
              </w:rPr>
              <w:t xml:space="preserve">, </w:t>
            </w:r>
            <w:r w:rsidRPr="009F49F9">
              <w:rPr>
                <w:b/>
                <w:bCs/>
                <w:color w:val="000000"/>
              </w:rPr>
              <w:t>°F</w:t>
            </w:r>
          </w:p>
        </w:tc>
      </w:tr>
      <w:tr w:rsidR="007008FB" w:rsidRPr="009F49F9" w:rsidTr="007008FB">
        <w:trPr>
          <w:trHeight w:val="30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bookmarkStart w:id="0" w:name="_Hlk447007856"/>
            <w:r w:rsidRPr="009F49F9">
              <w:rPr>
                <w:color w:val="000000"/>
              </w:rPr>
              <w:t>January</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40.1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40.1</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42</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38</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February</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42.1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41.0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42</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38</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March</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42.1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41.0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44</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42</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April</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45.1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43.2</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46</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42</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May</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49.1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46.0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50</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46</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June</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56.1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51.1</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54</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48</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July</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61.2</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54.1</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54</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48</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August</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60.3</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54.1</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54</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48</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September</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56.1</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52.3</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54</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48</w:t>
            </w:r>
          </w:p>
        </w:tc>
      </w:tr>
      <w:tr w:rsidR="007008FB" w:rsidRPr="009F49F9" w:rsidTr="007008FB">
        <w:trPr>
          <w:trHeight w:val="115"/>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October</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&lt;50.0</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&lt;50.0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52</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46</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November</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&lt;50.0</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&lt;50.0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46</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42</w:t>
            </w:r>
          </w:p>
        </w:tc>
      </w:tr>
      <w:tr w:rsidR="007008FB" w:rsidRPr="009F49F9" w:rsidTr="007008FB">
        <w:trPr>
          <w:trHeight w:val="144"/>
        </w:trPr>
        <w:tc>
          <w:tcPr>
            <w:tcW w:w="1010" w:type="pct"/>
            <w:tcBorders>
              <w:top w:val="nil"/>
              <w:left w:val="single" w:sz="8" w:space="0" w:color="auto"/>
              <w:bottom w:val="single" w:sz="8" w:space="0" w:color="auto"/>
              <w:right w:val="single" w:sz="8" w:space="0" w:color="auto"/>
            </w:tcBorders>
            <w:shd w:val="clear" w:color="auto" w:fill="auto"/>
            <w:vAlign w:val="center"/>
            <w:hideMark/>
          </w:tcPr>
          <w:p w:rsidR="007008FB" w:rsidRPr="009F49F9" w:rsidRDefault="007008FB" w:rsidP="007008FB">
            <w:pPr>
              <w:spacing w:after="0"/>
              <w:rPr>
                <w:color w:val="000000"/>
              </w:rPr>
            </w:pPr>
            <w:r w:rsidRPr="009F49F9">
              <w:rPr>
                <w:color w:val="000000"/>
              </w:rPr>
              <w:t>December</w:t>
            </w:r>
          </w:p>
        </w:tc>
        <w:tc>
          <w:tcPr>
            <w:tcW w:w="973" w:type="pct"/>
            <w:tcBorders>
              <w:top w:val="nil"/>
              <w:left w:val="nil"/>
              <w:bottom w:val="single" w:sz="8" w:space="0" w:color="auto"/>
              <w:right w:val="nil"/>
            </w:tcBorders>
            <w:vAlign w:val="center"/>
          </w:tcPr>
          <w:p w:rsidR="007008FB" w:rsidRPr="00F870EF" w:rsidRDefault="007008FB" w:rsidP="007008FB">
            <w:pPr>
              <w:spacing w:after="0"/>
              <w:jc w:val="center"/>
              <w:rPr>
                <w:sz w:val="20"/>
                <w:szCs w:val="20"/>
              </w:rPr>
            </w:pPr>
            <w:r w:rsidRPr="00F870EF">
              <w:rPr>
                <w:sz w:val="20"/>
                <w:szCs w:val="20"/>
              </w:rPr>
              <w:t>41.0</w:t>
            </w:r>
          </w:p>
        </w:tc>
        <w:tc>
          <w:tcPr>
            <w:tcW w:w="1050" w:type="pct"/>
            <w:tcBorders>
              <w:top w:val="single" w:sz="8" w:space="0" w:color="auto"/>
              <w:left w:val="nil"/>
              <w:bottom w:val="single" w:sz="8" w:space="0" w:color="auto"/>
              <w:right w:val="single" w:sz="4" w:space="0" w:color="auto"/>
            </w:tcBorders>
            <w:vAlign w:val="center"/>
          </w:tcPr>
          <w:p w:rsidR="007008FB" w:rsidRPr="00F870EF" w:rsidRDefault="007008FB" w:rsidP="007008FB">
            <w:pPr>
              <w:spacing w:after="0"/>
              <w:jc w:val="center"/>
              <w:rPr>
                <w:sz w:val="20"/>
                <w:szCs w:val="20"/>
              </w:rPr>
            </w:pPr>
            <w:r w:rsidRPr="00F870EF">
              <w:rPr>
                <w:sz w:val="20"/>
                <w:szCs w:val="20"/>
              </w:rPr>
              <w:t>41.0</w:t>
            </w:r>
          </w:p>
        </w:tc>
        <w:tc>
          <w:tcPr>
            <w:tcW w:w="879" w:type="pct"/>
            <w:tcBorders>
              <w:top w:val="single" w:sz="8" w:space="0" w:color="auto"/>
              <w:left w:val="single" w:sz="4" w:space="0" w:color="auto"/>
              <w:bottom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46</w:t>
            </w:r>
          </w:p>
        </w:tc>
        <w:tc>
          <w:tcPr>
            <w:tcW w:w="1089" w:type="pct"/>
            <w:tcBorders>
              <w:top w:val="nil"/>
              <w:left w:val="nil"/>
              <w:bottom w:val="single" w:sz="8" w:space="0" w:color="auto"/>
              <w:right w:val="single" w:sz="8" w:space="0" w:color="auto"/>
            </w:tcBorders>
            <w:shd w:val="clear" w:color="auto" w:fill="auto"/>
            <w:vAlign w:val="center"/>
            <w:hideMark/>
          </w:tcPr>
          <w:p w:rsidR="007008FB" w:rsidRPr="009F49F9" w:rsidRDefault="007008FB" w:rsidP="007008FB">
            <w:pPr>
              <w:spacing w:after="0"/>
              <w:jc w:val="center"/>
              <w:rPr>
                <w:color w:val="000000"/>
              </w:rPr>
            </w:pPr>
            <w:r w:rsidRPr="009F49F9">
              <w:rPr>
                <w:color w:val="000000"/>
              </w:rPr>
              <w:t>41</w:t>
            </w:r>
          </w:p>
        </w:tc>
      </w:tr>
      <w:bookmarkEnd w:id="0"/>
    </w:tbl>
    <w:p w:rsidR="00100CBB" w:rsidRDefault="00100CBB" w:rsidP="007008FB"/>
    <w:p w:rsidR="00100CBB" w:rsidRDefault="00B10729" w:rsidP="007008FB">
      <w:r>
        <w:t xml:space="preserve">In 2015, a set of evaluation criteria for water temperature in the </w:t>
      </w:r>
      <w:r w:rsidRPr="00C80379">
        <w:t>Middle Fork Willamette</w:t>
      </w:r>
      <w:r w:rsidRPr="002F5371">
        <w:rPr>
          <w:i/>
        </w:rPr>
        <w:t xml:space="preserve"> </w:t>
      </w:r>
      <w:r>
        <w:t xml:space="preserve">River was developed to assess biological effectiveness based on spring Chinook salmon life stages.  The criteria are used here for comparison however may need to be altered to reflect differences in the North Santiam </w:t>
      </w:r>
      <w:r>
        <w:lastRenderedPageBreak/>
        <w:t>basin (colored boxes in Figures 1-3 and Table 2).  Criteria were developed for various life stages to capture sub-optimal conditions and more extreme conditions throughout the year</w:t>
      </w:r>
      <w:r w:rsidRPr="002940B5">
        <w:t>.  Observations were compared as the percent of days not achieving the criteria.  However, deviation from the criteria may not have a biological impact because temperatures realized by individual fish is not the same as temperatures measured at specific locations. Water temperatures in streams vary over space and time. The evaluation criteria based on the gage sites should be used</w:t>
      </w:r>
      <w:r>
        <w:t xml:space="preserve"> as an indicator of potential </w:t>
      </w:r>
      <w:r w:rsidRPr="00FC4649">
        <w:t xml:space="preserve">impact.  </w:t>
      </w:r>
    </w:p>
    <w:p w:rsidR="00B10729" w:rsidRDefault="00B10729" w:rsidP="00B10729">
      <w:r>
        <w:t xml:space="preserve">The model predicts that outflow temperature would be less during the summer when using the ODFW proposed targets (Figures 1, 2 and 3).  However, the model predicts that the ODFW target would result in warmer temperature in the fall, especially during the ‘cool wet’ and ‘normal’ year.  The warmer predicted temperatures in the fall result in a 2 to 9 day earlier emergence when using the proposed target (Table 1).  </w:t>
      </w:r>
    </w:p>
    <w:p w:rsidR="00B10729" w:rsidRDefault="00B10729" w:rsidP="007008FB"/>
    <w:p w:rsidR="00100CBB" w:rsidRDefault="00100CBB" w:rsidP="007008FB">
      <w:r>
        <w:t xml:space="preserve">Figure 1.  Outlet temperature predictions for a ‘cool wet’ year.  The target is dashed and the resulting prediction is a thin, solid line.  </w:t>
      </w:r>
    </w:p>
    <w:p w:rsidR="00100CBB" w:rsidRDefault="00100CBB" w:rsidP="007008FB">
      <w:r>
        <w:rPr>
          <w:noProof/>
        </w:rPr>
        <w:drawing>
          <wp:inline distT="0" distB="0" distL="0" distR="0">
            <wp:extent cx="5486400" cy="3657600"/>
            <wp:effectExtent l="19050" t="0" r="0" b="0"/>
            <wp:docPr id="1" name="Picture 1" descr="\\nwd\nwp\ETDS\Engineering_Division\CENWP-EC-H\CENWP-EC-HR\Water_Quality\Models\02_Willamette_Basin_Projects\Detroit\ODFW_proposed_targets\target_evaluation\cool_wet_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d\nwp\ETDS\Engineering_Division\CENWP-EC-H\CENWP-EC-HR\Water_Quality\Models\02_Willamette_Basin_Projects\Detroit\ODFW_proposed_targets\target_evaluation\cool_wet_compare.png"/>
                    <pic:cNvPicPr>
                      <a:picLocks noChangeAspect="1" noChangeArrowheads="1"/>
                    </pic:cNvPicPr>
                  </pic:nvPicPr>
                  <pic:blipFill>
                    <a:blip r:embed="rId5"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100CBB" w:rsidRDefault="00100CBB" w:rsidP="00100CBB">
      <w:r>
        <w:t>Figure 2.  Outlet temperature predictions for a ‘hot dry’ year.</w:t>
      </w:r>
      <w:r w:rsidRPr="00100CBB">
        <w:t xml:space="preserve"> </w:t>
      </w:r>
      <w:r>
        <w:t xml:space="preserve">The target is dashed and the resulting prediction is a thin, solid line.  </w:t>
      </w:r>
    </w:p>
    <w:p w:rsidR="00100CBB" w:rsidRDefault="00100CBB" w:rsidP="007008FB">
      <w:r>
        <w:rPr>
          <w:noProof/>
        </w:rPr>
        <w:lastRenderedPageBreak/>
        <w:drawing>
          <wp:inline distT="0" distB="0" distL="0" distR="0">
            <wp:extent cx="5486400" cy="3657600"/>
            <wp:effectExtent l="19050" t="0" r="0" b="0"/>
            <wp:docPr id="2" name="Picture 2" descr="\\nwd\nwp\ETDS\Engineering_Division\CENWP-EC-H\CENWP-EC-HR\Water_Quality\Models\02_Willamette_Basin_Projects\Detroit\ODFW_proposed_targets\target_evaluation\hot_dry_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d\nwp\ETDS\Engineering_Division\CENWP-EC-H\CENWP-EC-HR\Water_Quality\Models\02_Willamette_Basin_Projects\Detroit\ODFW_proposed_targets\target_evaluation\hot_dry_compare.png"/>
                    <pic:cNvPicPr>
                      <a:picLocks noChangeAspect="1" noChangeArrowheads="1"/>
                    </pic:cNvPicPr>
                  </pic:nvPicPr>
                  <pic:blipFill>
                    <a:blip r:embed="rId6"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100CBB" w:rsidRDefault="00100CBB" w:rsidP="00100CBB">
      <w:r>
        <w:t>Figure 3.  Outlet temperature predictions for a ‘</w:t>
      </w:r>
      <w:r w:rsidR="00804731">
        <w:t>normal</w:t>
      </w:r>
      <w:bookmarkStart w:id="1" w:name="_GoBack"/>
      <w:bookmarkEnd w:id="1"/>
      <w:r>
        <w:t>’ year.</w:t>
      </w:r>
      <w:r w:rsidRPr="00100CBB">
        <w:t xml:space="preserve"> </w:t>
      </w:r>
      <w:r>
        <w:t xml:space="preserve">The target is dashed and the resulting prediction is a thin, solid line.  </w:t>
      </w:r>
    </w:p>
    <w:p w:rsidR="00100CBB" w:rsidRDefault="00B63374" w:rsidP="007008FB">
      <w:r>
        <w:rPr>
          <w:noProof/>
        </w:rPr>
        <w:drawing>
          <wp:inline distT="0" distB="0" distL="0" distR="0">
            <wp:extent cx="5486400" cy="3657600"/>
            <wp:effectExtent l="19050" t="0" r="0" b="0"/>
            <wp:docPr id="3" name="Picture 3" descr="\\nwd\nwp\ETDS\Engineering_Division\CENWP-EC-H\CENWP-EC-HR\Water_Quality\Models\02_Willamette_Basin_Projects\Detroit\ODFW_proposed_targets\target_evaluation\normal_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d\nwp\ETDS\Engineering_Division\CENWP-EC-H\CENWP-EC-HR\Water_Quality\Models\02_Willamette_Basin_Projects\Detroit\ODFW_proposed_targets\target_evaluation\normal_compare.png"/>
                    <pic:cNvPicPr>
                      <a:picLocks noChangeAspect="1" noChangeArrowheads="1"/>
                    </pic:cNvPicPr>
                  </pic:nvPicPr>
                  <pic:blipFill>
                    <a:blip r:embed="rId7"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BA7CB5" w:rsidRDefault="00BA7CB5" w:rsidP="007008FB"/>
    <w:p w:rsidR="00BA7CB5" w:rsidRDefault="00BA7CB5" w:rsidP="007008FB">
      <w:r>
        <w:t>Table 2.  Evaluation of different targets.</w:t>
      </w:r>
    </w:p>
    <w:p w:rsidR="002437B4" w:rsidRDefault="00BA7CB5" w:rsidP="007008FB">
      <w:r w:rsidRPr="00BA7CB5">
        <w:rPr>
          <w:noProof/>
        </w:rPr>
        <w:drawing>
          <wp:inline distT="0" distB="0" distL="0" distR="0">
            <wp:extent cx="5676900" cy="419862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676900" cy="4198620"/>
                    </a:xfrm>
                    <a:prstGeom prst="rect">
                      <a:avLst/>
                    </a:prstGeom>
                    <a:noFill/>
                    <a:ln w="9525">
                      <a:noFill/>
                      <a:miter lim="800000"/>
                      <a:headEnd/>
                      <a:tailEnd/>
                    </a:ln>
                  </pic:spPr>
                </pic:pic>
              </a:graphicData>
            </a:graphic>
          </wp:inline>
        </w:drawing>
      </w:r>
    </w:p>
    <w:sectPr w:rsidR="002437B4" w:rsidSect="00D9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2"/>
  </w:compat>
  <w:rsids>
    <w:rsidRoot w:val="007008FB"/>
    <w:rsid w:val="000252A7"/>
    <w:rsid w:val="00035D6D"/>
    <w:rsid w:val="00100CBB"/>
    <w:rsid w:val="001F76A2"/>
    <w:rsid w:val="002437B4"/>
    <w:rsid w:val="00372818"/>
    <w:rsid w:val="0064086B"/>
    <w:rsid w:val="007008FB"/>
    <w:rsid w:val="00704388"/>
    <w:rsid w:val="00804731"/>
    <w:rsid w:val="008E48DA"/>
    <w:rsid w:val="00AB4675"/>
    <w:rsid w:val="00B063AD"/>
    <w:rsid w:val="00B10729"/>
    <w:rsid w:val="00B543FD"/>
    <w:rsid w:val="00B63374"/>
    <w:rsid w:val="00BA7CB5"/>
    <w:rsid w:val="00CC176B"/>
    <w:rsid w:val="00D90C02"/>
    <w:rsid w:val="00D95D91"/>
    <w:rsid w:val="00E7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F8D08-CA9D-4186-894B-DBE1843C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388"/>
    <w:rPr>
      <w:color w:val="0000FF" w:themeColor="hyperlink"/>
      <w:u w:val="single"/>
    </w:rPr>
  </w:style>
  <w:style w:type="paragraph" w:styleId="BalloonText">
    <w:name w:val="Balloon Text"/>
    <w:basedOn w:val="Normal"/>
    <w:link w:val="BalloonTextChar"/>
    <w:uiPriority w:val="99"/>
    <w:semiHidden/>
    <w:unhideWhenUsed/>
    <w:rsid w:val="0010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5492">
      <w:bodyDiv w:val="1"/>
      <w:marLeft w:val="0"/>
      <w:marRight w:val="0"/>
      <w:marTop w:val="0"/>
      <w:marBottom w:val="0"/>
      <w:divBdr>
        <w:top w:val="none" w:sz="0" w:space="0" w:color="auto"/>
        <w:left w:val="none" w:sz="0" w:space="0" w:color="auto"/>
        <w:bottom w:val="none" w:sz="0" w:space="0" w:color="auto"/>
        <w:right w:val="none" w:sz="0" w:space="0" w:color="auto"/>
      </w:divBdr>
    </w:div>
    <w:div w:id="1584604048">
      <w:bodyDiv w:val="1"/>
      <w:marLeft w:val="0"/>
      <w:marRight w:val="0"/>
      <w:marTop w:val="0"/>
      <w:marBottom w:val="0"/>
      <w:divBdr>
        <w:top w:val="none" w:sz="0" w:space="0" w:color="auto"/>
        <w:left w:val="none" w:sz="0" w:space="0" w:color="auto"/>
        <w:bottom w:val="none" w:sz="0" w:space="0" w:color="auto"/>
        <w:right w:val="none" w:sz="0" w:space="0" w:color="auto"/>
      </w:divBdr>
    </w:div>
    <w:div w:id="1587615474">
      <w:bodyDiv w:val="1"/>
      <w:marLeft w:val="0"/>
      <w:marRight w:val="0"/>
      <w:marTop w:val="0"/>
      <w:marBottom w:val="0"/>
      <w:divBdr>
        <w:top w:val="none" w:sz="0" w:space="0" w:color="auto"/>
        <w:left w:val="none" w:sz="0" w:space="0" w:color="auto"/>
        <w:bottom w:val="none" w:sz="0" w:space="0" w:color="auto"/>
        <w:right w:val="none" w:sz="0" w:space="0" w:color="auto"/>
      </w:divBdr>
    </w:div>
    <w:div w:id="18966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pubs.usgs.gov/of/2015/10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g2echdft</dc:creator>
  <cp:lastModifiedBy>CW</cp:lastModifiedBy>
  <cp:revision>9</cp:revision>
  <dcterms:created xsi:type="dcterms:W3CDTF">2016-03-30T17:50:00Z</dcterms:created>
  <dcterms:modified xsi:type="dcterms:W3CDTF">2016-04-18T18:10:00Z</dcterms:modified>
</cp:coreProperties>
</file>