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1475"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4C35AFC9"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42A57F58" w14:textId="77777777" w:rsidR="00B43BDE" w:rsidRPr="000E317F" w:rsidRDefault="00B43BDE" w:rsidP="00B43BDE">
      <w:pPr>
        <w:pStyle w:val="PlainText"/>
        <w:rPr>
          <w:rFonts w:ascii="Times New Roman" w:hAnsi="Times New Roman" w:cs="Times New Roman"/>
          <w:b/>
          <w:sz w:val="24"/>
          <w:szCs w:val="24"/>
        </w:rPr>
      </w:pPr>
    </w:p>
    <w:p w14:paraId="62133E30" w14:textId="77777777" w:rsidR="00B43BDE" w:rsidRDefault="00B43BDE" w:rsidP="00B43BDE">
      <w:pPr>
        <w:pStyle w:val="PlainText"/>
        <w:rPr>
          <w:rFonts w:ascii="Times New Roman" w:hAnsi="Times New Roman" w:cs="Times New Roman"/>
          <w:b/>
          <w:sz w:val="24"/>
          <w:szCs w:val="24"/>
        </w:rPr>
      </w:pPr>
    </w:p>
    <w:p w14:paraId="1745B4DF" w14:textId="5EB52DF2" w:rsidR="00650AFF" w:rsidRPr="00B638B9" w:rsidRDefault="00650AFF" w:rsidP="00B43BDE">
      <w:pPr>
        <w:pStyle w:val="PlainText"/>
        <w:rPr>
          <w:rFonts w:ascii="Times New Roman" w:hAnsi="Times New Roman" w:cs="Times New Roman"/>
          <w:b/>
          <w:bCs/>
          <w:iCs/>
          <w:sz w:val="24"/>
          <w:szCs w:val="24"/>
        </w:rPr>
      </w:pPr>
      <w:r>
        <w:rPr>
          <w:rFonts w:ascii="Times New Roman" w:hAnsi="Times New Roman" w:cs="Times New Roman"/>
          <w:b/>
          <w:sz w:val="24"/>
          <w:szCs w:val="24"/>
        </w:rPr>
        <w:t xml:space="preserve">COORDINATION TITLE- </w:t>
      </w:r>
      <w:r w:rsidR="00B01CC3">
        <w:rPr>
          <w:rFonts w:ascii="Times New Roman" w:hAnsi="Times New Roman" w:cs="Times New Roman"/>
          <w:b/>
          <w:sz w:val="24"/>
          <w:szCs w:val="24"/>
        </w:rPr>
        <w:t>24BON</w:t>
      </w:r>
      <w:r w:rsidR="00B01CC3" w:rsidRPr="00342A20">
        <w:rPr>
          <w:rFonts w:ascii="Times New Roman" w:hAnsi="Times New Roman" w:cs="Times New Roman"/>
          <w:b/>
          <w:sz w:val="24"/>
          <w:szCs w:val="24"/>
        </w:rPr>
        <w:t>0</w:t>
      </w:r>
      <w:r w:rsidR="00342A20">
        <w:rPr>
          <w:rFonts w:ascii="Times New Roman" w:hAnsi="Times New Roman" w:cs="Times New Roman"/>
          <w:b/>
          <w:sz w:val="24"/>
          <w:szCs w:val="24"/>
        </w:rPr>
        <w:t>10</w:t>
      </w:r>
      <w:r w:rsidR="00B01CC3">
        <w:rPr>
          <w:rFonts w:ascii="Times New Roman" w:hAnsi="Times New Roman" w:cs="Times New Roman"/>
          <w:b/>
          <w:sz w:val="24"/>
          <w:szCs w:val="24"/>
        </w:rPr>
        <w:t xml:space="preserve"> MOC B2FGE Post Construction Evaluation 2024</w:t>
      </w:r>
    </w:p>
    <w:p w14:paraId="68388508" w14:textId="57E8E859"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COORDINATION DATE- </w:t>
      </w:r>
      <w:r w:rsidR="00AC75A9">
        <w:rPr>
          <w:rFonts w:ascii="Times New Roman" w:hAnsi="Times New Roman" w:cs="Times New Roman"/>
          <w:b/>
          <w:sz w:val="24"/>
          <w:szCs w:val="24"/>
        </w:rPr>
        <w:t>20April2024</w:t>
      </w:r>
    </w:p>
    <w:p w14:paraId="5B5482AF" w14:textId="55956E2B"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B638B9">
        <w:rPr>
          <w:rFonts w:ascii="Times New Roman" w:hAnsi="Times New Roman" w:cs="Times New Roman"/>
          <w:b/>
          <w:sz w:val="24"/>
          <w:szCs w:val="24"/>
        </w:rPr>
        <w:t>Bonneville Lock &amp; Dam</w:t>
      </w:r>
    </w:p>
    <w:p w14:paraId="54265A4D" w14:textId="4EADAB7C"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AC75A9">
        <w:rPr>
          <w:rFonts w:ascii="Times New Roman" w:hAnsi="Times New Roman" w:cs="Times New Roman"/>
          <w:b/>
          <w:sz w:val="24"/>
          <w:szCs w:val="24"/>
        </w:rPr>
        <w:t>11April2024</w:t>
      </w:r>
    </w:p>
    <w:p w14:paraId="5E6316EF" w14:textId="77777777" w:rsidR="00B43BDE" w:rsidRPr="000E317F" w:rsidRDefault="00B43BDE" w:rsidP="00B43BDE">
      <w:pPr>
        <w:pStyle w:val="PlainText"/>
        <w:rPr>
          <w:rFonts w:ascii="Times New Roman" w:hAnsi="Times New Roman" w:cs="Times New Roman"/>
          <w:b/>
          <w:sz w:val="24"/>
          <w:szCs w:val="24"/>
        </w:rPr>
      </w:pPr>
    </w:p>
    <w:p w14:paraId="452B352F" w14:textId="7FE6B570" w:rsidR="00A87032"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r w:rsidR="00B01CC3">
        <w:rPr>
          <w:rFonts w:ascii="Times New Roman" w:hAnsi="Times New Roman" w:cs="Times New Roman"/>
          <w:b/>
          <w:sz w:val="24"/>
          <w:szCs w:val="24"/>
        </w:rPr>
        <w:t xml:space="preserve"> </w:t>
      </w:r>
    </w:p>
    <w:p w14:paraId="69E34D6F" w14:textId="68D49DE2" w:rsidR="00B01CC3" w:rsidRDefault="00B01CC3" w:rsidP="00FC146C">
      <w:pPr>
        <w:pStyle w:val="PlainText"/>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Corps’ Bonneville Powerhouse 2 Fish Guidance Efficiency (B2FGE) Program </w:t>
      </w:r>
      <w:r w:rsidR="003005B4">
        <w:rPr>
          <w:rFonts w:ascii="Times New Roman" w:hAnsi="Times New Roman" w:cs="Times New Roman"/>
          <w:bCs/>
          <w:sz w:val="24"/>
          <w:szCs w:val="24"/>
        </w:rPr>
        <w:t>co</w:t>
      </w:r>
      <w:r>
        <w:rPr>
          <w:rFonts w:ascii="Times New Roman" w:hAnsi="Times New Roman" w:cs="Times New Roman"/>
          <w:bCs/>
          <w:sz w:val="24"/>
          <w:szCs w:val="24"/>
        </w:rPr>
        <w:t xml:space="preserve">mpleted structural modifications to </w:t>
      </w:r>
      <w:proofErr w:type="spellStart"/>
      <w:r>
        <w:rPr>
          <w:rFonts w:ascii="Times New Roman" w:hAnsi="Times New Roman" w:cs="Times New Roman"/>
          <w:bCs/>
          <w:sz w:val="24"/>
          <w:szCs w:val="24"/>
        </w:rPr>
        <w:t>gatewells</w:t>
      </w:r>
      <w:proofErr w:type="spellEnd"/>
      <w:r>
        <w:rPr>
          <w:rFonts w:ascii="Times New Roman" w:hAnsi="Times New Roman" w:cs="Times New Roman"/>
          <w:bCs/>
          <w:sz w:val="24"/>
          <w:szCs w:val="24"/>
        </w:rPr>
        <w:t xml:space="preserve"> </w:t>
      </w:r>
      <w:r w:rsidR="00CC14D0">
        <w:rPr>
          <w:rFonts w:ascii="Times New Roman" w:hAnsi="Times New Roman" w:cs="Times New Roman"/>
          <w:bCs/>
          <w:sz w:val="24"/>
          <w:szCs w:val="24"/>
        </w:rPr>
        <w:t xml:space="preserve">of </w:t>
      </w:r>
      <w:r>
        <w:rPr>
          <w:rFonts w:ascii="Times New Roman" w:hAnsi="Times New Roman" w:cs="Times New Roman"/>
          <w:bCs/>
          <w:sz w:val="24"/>
          <w:szCs w:val="24"/>
        </w:rPr>
        <w:t>units</w:t>
      </w:r>
      <w:r w:rsidR="00CC14D0">
        <w:rPr>
          <w:rFonts w:ascii="Times New Roman" w:hAnsi="Times New Roman" w:cs="Times New Roman"/>
          <w:bCs/>
          <w:sz w:val="24"/>
          <w:szCs w:val="24"/>
        </w:rPr>
        <w:t xml:space="preserve"> </w:t>
      </w:r>
      <w:r>
        <w:rPr>
          <w:rFonts w:ascii="Times New Roman" w:hAnsi="Times New Roman" w:cs="Times New Roman"/>
          <w:bCs/>
          <w:sz w:val="24"/>
          <w:szCs w:val="24"/>
        </w:rPr>
        <w:t>11-18, at Bonneville Lock &amp; Dam</w:t>
      </w:r>
      <w:r w:rsidR="003005B4">
        <w:rPr>
          <w:rFonts w:ascii="Times New Roman" w:hAnsi="Times New Roman" w:cs="Times New Roman"/>
          <w:bCs/>
          <w:sz w:val="24"/>
          <w:szCs w:val="24"/>
        </w:rPr>
        <w:t xml:space="preserve"> in November 2023</w:t>
      </w:r>
      <w:r w:rsidR="00A87032">
        <w:rPr>
          <w:rFonts w:ascii="Times New Roman" w:hAnsi="Times New Roman" w:cs="Times New Roman"/>
          <w:bCs/>
          <w:sz w:val="24"/>
          <w:szCs w:val="24"/>
        </w:rPr>
        <w:t xml:space="preserve">. </w:t>
      </w:r>
      <w:r w:rsidR="00404B67">
        <w:rPr>
          <w:rFonts w:ascii="Times New Roman" w:hAnsi="Times New Roman" w:cs="Times New Roman"/>
          <w:bCs/>
          <w:sz w:val="24"/>
          <w:szCs w:val="24"/>
        </w:rPr>
        <w:t>See</w:t>
      </w:r>
      <w:r w:rsidR="004A1D8A">
        <w:rPr>
          <w:rFonts w:ascii="Times New Roman" w:hAnsi="Times New Roman" w:cs="Times New Roman"/>
          <w:bCs/>
          <w:sz w:val="24"/>
          <w:szCs w:val="24"/>
        </w:rPr>
        <w:t xml:space="preserve"> SRWG</w:t>
      </w:r>
      <w:r w:rsidR="006F05A4">
        <w:rPr>
          <w:rFonts w:ascii="Times New Roman" w:hAnsi="Times New Roman" w:cs="Times New Roman"/>
          <w:bCs/>
          <w:sz w:val="24"/>
          <w:szCs w:val="24"/>
        </w:rPr>
        <w:t xml:space="preserve"> 2024 Implementation Plan </w:t>
      </w:r>
      <w:r w:rsidR="008836DF">
        <w:rPr>
          <w:rFonts w:ascii="Times New Roman" w:hAnsi="Times New Roman" w:cs="Times New Roman"/>
          <w:bCs/>
          <w:sz w:val="24"/>
          <w:szCs w:val="24"/>
        </w:rPr>
        <w:t xml:space="preserve">(PNNL, 2024) </w:t>
      </w:r>
      <w:r w:rsidR="006F05A4">
        <w:rPr>
          <w:rFonts w:ascii="Times New Roman" w:hAnsi="Times New Roman" w:cs="Times New Roman"/>
          <w:bCs/>
          <w:sz w:val="24"/>
          <w:szCs w:val="24"/>
        </w:rPr>
        <w:t>and</w:t>
      </w:r>
      <w:r w:rsidR="004A1D8A">
        <w:rPr>
          <w:rFonts w:ascii="Times New Roman" w:hAnsi="Times New Roman" w:cs="Times New Roman"/>
          <w:bCs/>
          <w:sz w:val="24"/>
          <w:szCs w:val="24"/>
        </w:rPr>
        <w:t xml:space="preserve"> </w:t>
      </w:r>
      <w:r w:rsidR="005D1A60">
        <w:rPr>
          <w:rFonts w:ascii="Times New Roman" w:hAnsi="Times New Roman" w:cs="Times New Roman"/>
          <w:bCs/>
          <w:sz w:val="24"/>
          <w:szCs w:val="24"/>
        </w:rPr>
        <w:t>Research Summary</w:t>
      </w:r>
      <w:r w:rsidR="004A1D8A">
        <w:rPr>
          <w:rFonts w:ascii="Times New Roman" w:hAnsi="Times New Roman" w:cs="Times New Roman"/>
          <w:bCs/>
          <w:sz w:val="24"/>
          <w:szCs w:val="24"/>
        </w:rPr>
        <w:t xml:space="preserve"> SPE-P-24-1</w:t>
      </w:r>
      <w:r w:rsidR="006F05A4">
        <w:rPr>
          <w:rFonts w:ascii="Times New Roman" w:hAnsi="Times New Roman" w:cs="Times New Roman"/>
          <w:bCs/>
          <w:sz w:val="24"/>
          <w:szCs w:val="24"/>
        </w:rPr>
        <w:t xml:space="preserve"> </w:t>
      </w:r>
      <w:r w:rsidR="004A1D8A">
        <w:rPr>
          <w:rFonts w:ascii="Times New Roman" w:hAnsi="Times New Roman" w:cs="Times New Roman"/>
          <w:bCs/>
          <w:sz w:val="24"/>
          <w:szCs w:val="24"/>
        </w:rPr>
        <w:t>for more background information on the B2FGE Program</w:t>
      </w:r>
      <w:r w:rsidR="00404B67">
        <w:rPr>
          <w:rFonts w:ascii="Times New Roman" w:hAnsi="Times New Roman" w:cs="Times New Roman"/>
          <w:bCs/>
          <w:sz w:val="24"/>
          <w:szCs w:val="24"/>
        </w:rPr>
        <w:t>.</w:t>
      </w:r>
    </w:p>
    <w:p w14:paraId="145B7F01" w14:textId="77777777" w:rsidR="00126A1C" w:rsidRDefault="00126A1C" w:rsidP="00FC146C">
      <w:pPr>
        <w:pStyle w:val="PlainText"/>
        <w:ind w:firstLine="720"/>
        <w:jc w:val="both"/>
        <w:rPr>
          <w:rFonts w:ascii="Times New Roman" w:hAnsi="Times New Roman" w:cs="Times New Roman"/>
          <w:bCs/>
          <w:sz w:val="24"/>
          <w:szCs w:val="24"/>
        </w:rPr>
      </w:pPr>
    </w:p>
    <w:p w14:paraId="07369399" w14:textId="478191DC" w:rsidR="002C43D4" w:rsidRDefault="003D172A" w:rsidP="00FC146C">
      <w:pPr>
        <w:pStyle w:val="PlainText"/>
        <w:jc w:val="both"/>
        <w:rPr>
          <w:rFonts w:ascii="Times New Roman" w:hAnsi="Times New Roman" w:cs="Times New Roman"/>
          <w:bCs/>
          <w:sz w:val="24"/>
          <w:szCs w:val="24"/>
        </w:rPr>
      </w:pPr>
      <w:r>
        <w:rPr>
          <w:rFonts w:ascii="Times New Roman" w:hAnsi="Times New Roman" w:cs="Times New Roman"/>
          <w:bCs/>
          <w:sz w:val="24"/>
          <w:szCs w:val="24"/>
        </w:rPr>
        <w:t>T</w:t>
      </w:r>
      <w:r w:rsidR="002C43D4">
        <w:rPr>
          <w:rFonts w:ascii="Times New Roman" w:hAnsi="Times New Roman" w:cs="Times New Roman"/>
          <w:bCs/>
          <w:sz w:val="24"/>
          <w:szCs w:val="24"/>
        </w:rPr>
        <w:t>he Corp</w:t>
      </w:r>
      <w:r w:rsidR="001D473B">
        <w:rPr>
          <w:rFonts w:ascii="Times New Roman" w:hAnsi="Times New Roman" w:cs="Times New Roman"/>
          <w:bCs/>
          <w:sz w:val="24"/>
          <w:szCs w:val="24"/>
        </w:rPr>
        <w:t>s</w:t>
      </w:r>
      <w:r w:rsidR="002C43D4">
        <w:rPr>
          <w:rFonts w:ascii="Times New Roman" w:hAnsi="Times New Roman" w:cs="Times New Roman"/>
          <w:bCs/>
          <w:sz w:val="24"/>
          <w:szCs w:val="24"/>
        </w:rPr>
        <w:t xml:space="preserve"> plans on implementing the B2FGE </w:t>
      </w:r>
      <w:r w:rsidR="001D473B">
        <w:rPr>
          <w:rFonts w:ascii="Times New Roman" w:hAnsi="Times New Roman" w:cs="Times New Roman"/>
          <w:bCs/>
          <w:sz w:val="24"/>
          <w:szCs w:val="24"/>
        </w:rPr>
        <w:t>study</w:t>
      </w:r>
      <w:r w:rsidR="002C43D4">
        <w:rPr>
          <w:rFonts w:ascii="Times New Roman" w:hAnsi="Times New Roman" w:cs="Times New Roman"/>
          <w:bCs/>
          <w:sz w:val="24"/>
          <w:szCs w:val="24"/>
        </w:rPr>
        <w:t xml:space="preserve"> during the spring and summer of 2024. Testing results will provide meaningful data to assist in informing </w:t>
      </w:r>
      <w:r w:rsidR="00883AB9">
        <w:rPr>
          <w:rFonts w:ascii="Times New Roman" w:hAnsi="Times New Roman" w:cs="Times New Roman"/>
          <w:bCs/>
          <w:sz w:val="24"/>
          <w:szCs w:val="24"/>
        </w:rPr>
        <w:t xml:space="preserve">the evaluation of </w:t>
      </w:r>
      <w:r w:rsidR="001D473B">
        <w:rPr>
          <w:rFonts w:ascii="Times New Roman" w:hAnsi="Times New Roman" w:cs="Times New Roman"/>
          <w:bCs/>
          <w:sz w:val="24"/>
          <w:szCs w:val="24"/>
        </w:rPr>
        <w:t>nearly 20 years of regional forum coordination on operations and project modifications to improve conditions for juvenile salmon</w:t>
      </w:r>
      <w:r w:rsidR="004A1D8A">
        <w:rPr>
          <w:rFonts w:ascii="Times New Roman" w:hAnsi="Times New Roman" w:cs="Times New Roman"/>
          <w:bCs/>
          <w:sz w:val="24"/>
          <w:szCs w:val="24"/>
        </w:rPr>
        <w:t>ids</w:t>
      </w:r>
      <w:r w:rsidR="001D473B">
        <w:rPr>
          <w:rFonts w:ascii="Times New Roman" w:hAnsi="Times New Roman" w:cs="Times New Roman"/>
          <w:bCs/>
          <w:sz w:val="24"/>
          <w:szCs w:val="24"/>
        </w:rPr>
        <w:t xml:space="preserve"> at </w:t>
      </w:r>
      <w:r w:rsidR="00883AB9">
        <w:rPr>
          <w:rFonts w:ascii="Times New Roman" w:hAnsi="Times New Roman" w:cs="Times New Roman"/>
          <w:bCs/>
          <w:sz w:val="24"/>
          <w:szCs w:val="24"/>
        </w:rPr>
        <w:t>Powerhouse Two (PH2)</w:t>
      </w:r>
      <w:r w:rsidR="001D473B">
        <w:rPr>
          <w:rFonts w:ascii="Times New Roman" w:hAnsi="Times New Roman" w:cs="Times New Roman"/>
          <w:bCs/>
          <w:sz w:val="24"/>
          <w:szCs w:val="24"/>
        </w:rPr>
        <w:t xml:space="preserve">. </w:t>
      </w:r>
      <w:r w:rsidR="005244C6">
        <w:rPr>
          <w:rFonts w:ascii="Times New Roman" w:hAnsi="Times New Roman" w:cs="Times New Roman"/>
          <w:bCs/>
          <w:sz w:val="24"/>
          <w:szCs w:val="24"/>
        </w:rPr>
        <w:t>With every year comes unique circumstances ranging from extremes in water years (</w:t>
      </w:r>
      <w:proofErr w:type="gramStart"/>
      <w:r w:rsidR="004A1D8A">
        <w:rPr>
          <w:rFonts w:ascii="Times New Roman" w:hAnsi="Times New Roman" w:cs="Times New Roman"/>
          <w:bCs/>
          <w:sz w:val="24"/>
          <w:szCs w:val="24"/>
        </w:rPr>
        <w:t>e.g.</w:t>
      </w:r>
      <w:proofErr w:type="gramEnd"/>
      <w:r w:rsidR="005244C6">
        <w:rPr>
          <w:rFonts w:ascii="Times New Roman" w:hAnsi="Times New Roman" w:cs="Times New Roman"/>
          <w:bCs/>
          <w:sz w:val="24"/>
          <w:szCs w:val="24"/>
        </w:rPr>
        <w:t xml:space="preserve"> low vs high water year) to unplanned events/outages/etc.  </w:t>
      </w:r>
      <w:r>
        <w:rPr>
          <w:rFonts w:ascii="Times New Roman" w:hAnsi="Times New Roman" w:cs="Times New Roman"/>
          <w:bCs/>
          <w:sz w:val="24"/>
          <w:szCs w:val="24"/>
        </w:rPr>
        <w:t xml:space="preserve">Despite the </w:t>
      </w:r>
      <w:r w:rsidR="00883AB9">
        <w:rPr>
          <w:rFonts w:ascii="Times New Roman" w:hAnsi="Times New Roman" w:cs="Times New Roman"/>
          <w:bCs/>
          <w:sz w:val="24"/>
          <w:szCs w:val="24"/>
        </w:rPr>
        <w:t>unplanned</w:t>
      </w:r>
      <w:r>
        <w:rPr>
          <w:rFonts w:ascii="Times New Roman" w:hAnsi="Times New Roman" w:cs="Times New Roman"/>
          <w:bCs/>
          <w:sz w:val="24"/>
          <w:szCs w:val="24"/>
        </w:rPr>
        <w:t xml:space="preserve"> outages of </w:t>
      </w:r>
      <w:r w:rsidR="007E190A">
        <w:rPr>
          <w:rFonts w:ascii="Times New Roman" w:hAnsi="Times New Roman" w:cs="Times New Roman"/>
          <w:bCs/>
          <w:sz w:val="24"/>
          <w:szCs w:val="24"/>
        </w:rPr>
        <w:t>9</w:t>
      </w:r>
      <w:r>
        <w:rPr>
          <w:rFonts w:ascii="Times New Roman" w:hAnsi="Times New Roman" w:cs="Times New Roman"/>
          <w:bCs/>
          <w:sz w:val="24"/>
          <w:szCs w:val="24"/>
        </w:rPr>
        <w:t xml:space="preserve"> out </w:t>
      </w:r>
      <w:r w:rsidR="007E190A">
        <w:rPr>
          <w:rFonts w:ascii="Times New Roman" w:hAnsi="Times New Roman" w:cs="Times New Roman"/>
          <w:bCs/>
          <w:sz w:val="24"/>
          <w:szCs w:val="24"/>
        </w:rPr>
        <w:t>10</w:t>
      </w:r>
      <w:r>
        <w:rPr>
          <w:rFonts w:ascii="Times New Roman" w:hAnsi="Times New Roman" w:cs="Times New Roman"/>
          <w:bCs/>
          <w:sz w:val="24"/>
          <w:szCs w:val="24"/>
        </w:rPr>
        <w:t xml:space="preserve"> units at </w:t>
      </w:r>
      <w:r w:rsidR="00883AB9">
        <w:rPr>
          <w:rFonts w:ascii="Times New Roman" w:hAnsi="Times New Roman" w:cs="Times New Roman"/>
          <w:bCs/>
          <w:sz w:val="24"/>
          <w:szCs w:val="24"/>
        </w:rPr>
        <w:t>Powerhouse One (</w:t>
      </w:r>
      <w:r>
        <w:rPr>
          <w:rFonts w:ascii="Times New Roman" w:hAnsi="Times New Roman" w:cs="Times New Roman"/>
          <w:bCs/>
          <w:sz w:val="24"/>
          <w:szCs w:val="24"/>
        </w:rPr>
        <w:t>PH1</w:t>
      </w:r>
      <w:r w:rsidR="00883AB9">
        <w:rPr>
          <w:rFonts w:ascii="Times New Roman" w:hAnsi="Times New Roman" w:cs="Times New Roman"/>
          <w:bCs/>
          <w:sz w:val="24"/>
          <w:szCs w:val="24"/>
        </w:rPr>
        <w:t>)</w:t>
      </w:r>
      <w:r>
        <w:rPr>
          <w:rFonts w:ascii="Times New Roman" w:hAnsi="Times New Roman" w:cs="Times New Roman"/>
          <w:bCs/>
          <w:sz w:val="24"/>
          <w:szCs w:val="24"/>
        </w:rPr>
        <w:t xml:space="preserve"> as noted in recent coordination</w:t>
      </w:r>
      <w:r w:rsidR="004A1D8A">
        <w:rPr>
          <w:rFonts w:ascii="Times New Roman" w:hAnsi="Times New Roman" w:cs="Times New Roman"/>
          <w:bCs/>
          <w:sz w:val="24"/>
          <w:szCs w:val="24"/>
        </w:rPr>
        <w:t>,</w:t>
      </w:r>
      <w:r>
        <w:rPr>
          <w:rFonts w:ascii="Times New Roman" w:hAnsi="Times New Roman" w:cs="Times New Roman"/>
          <w:bCs/>
          <w:sz w:val="24"/>
          <w:szCs w:val="24"/>
        </w:rPr>
        <w:t xml:space="preserve"> the Corps plans on conducting the B2FGE study because hydraulic conditions at</w:t>
      </w:r>
      <w:r w:rsidR="001B7BDC">
        <w:rPr>
          <w:rFonts w:ascii="Times New Roman" w:hAnsi="Times New Roman" w:cs="Times New Roman"/>
          <w:bCs/>
          <w:sz w:val="24"/>
          <w:szCs w:val="24"/>
        </w:rPr>
        <w:t xml:space="preserve"> BON and operating conditions at</w:t>
      </w:r>
      <w:r>
        <w:rPr>
          <w:rFonts w:ascii="Times New Roman" w:hAnsi="Times New Roman" w:cs="Times New Roman"/>
          <w:bCs/>
          <w:sz w:val="24"/>
          <w:szCs w:val="24"/>
        </w:rPr>
        <w:t xml:space="preserve"> PH2 will </w:t>
      </w:r>
      <w:r w:rsidR="001B7BDC">
        <w:rPr>
          <w:rFonts w:ascii="Times New Roman" w:hAnsi="Times New Roman" w:cs="Times New Roman"/>
          <w:bCs/>
          <w:sz w:val="24"/>
          <w:szCs w:val="24"/>
        </w:rPr>
        <w:t xml:space="preserve">meet the study design objectives </w:t>
      </w:r>
      <w:r>
        <w:rPr>
          <w:rFonts w:ascii="Times New Roman" w:hAnsi="Times New Roman" w:cs="Times New Roman"/>
          <w:bCs/>
          <w:sz w:val="24"/>
          <w:szCs w:val="24"/>
        </w:rPr>
        <w:t>to evaluate modifications of PH2 units associated w</w:t>
      </w:r>
      <w:r w:rsidR="004A1D8A">
        <w:rPr>
          <w:rFonts w:ascii="Times New Roman" w:hAnsi="Times New Roman" w:cs="Times New Roman"/>
          <w:bCs/>
          <w:sz w:val="24"/>
          <w:szCs w:val="24"/>
        </w:rPr>
        <w:t>ith</w:t>
      </w:r>
      <w:r>
        <w:rPr>
          <w:rFonts w:ascii="Times New Roman" w:hAnsi="Times New Roman" w:cs="Times New Roman"/>
          <w:bCs/>
          <w:sz w:val="24"/>
          <w:szCs w:val="24"/>
        </w:rPr>
        <w:t xml:space="preserve"> this test.  </w:t>
      </w:r>
    </w:p>
    <w:p w14:paraId="00352033" w14:textId="77777777" w:rsidR="002C43D4" w:rsidRDefault="002C43D4" w:rsidP="00FC146C">
      <w:pPr>
        <w:pStyle w:val="PlainText"/>
        <w:jc w:val="both"/>
        <w:rPr>
          <w:rFonts w:ascii="Times New Roman" w:hAnsi="Times New Roman" w:cs="Times New Roman"/>
          <w:bCs/>
          <w:sz w:val="24"/>
          <w:szCs w:val="24"/>
        </w:rPr>
      </w:pPr>
    </w:p>
    <w:p w14:paraId="4AA72100" w14:textId="5B05F987" w:rsidR="00A02463" w:rsidRPr="00126A1C" w:rsidRDefault="00126A1C" w:rsidP="00FC146C">
      <w:pPr>
        <w:pStyle w:val="PlainText"/>
        <w:jc w:val="both"/>
        <w:rPr>
          <w:rFonts w:ascii="Times New Roman" w:hAnsi="Times New Roman" w:cs="Times New Roman"/>
          <w:bCs/>
          <w:sz w:val="24"/>
          <w:szCs w:val="24"/>
        </w:rPr>
      </w:pPr>
      <w:r>
        <w:rPr>
          <w:rFonts w:ascii="Times New Roman" w:hAnsi="Times New Roman" w:cs="Times New Roman"/>
          <w:bCs/>
          <w:sz w:val="24"/>
          <w:szCs w:val="24"/>
        </w:rPr>
        <w:t xml:space="preserve">The study will use biological fish condition monitoring at the Juvenile Monitoring Facility (JMF) collected for the Smolt Monitoring Program (SMP) to compare the distributions of descaling and mortality of juvenile migrants at the middle and upper 1% peak efficiency turbine operating range for spring </w:t>
      </w:r>
      <w:r w:rsidRPr="005E7E2B">
        <w:rPr>
          <w:rFonts w:ascii="Times New Roman" w:hAnsi="Times New Roman" w:cs="Times New Roman"/>
          <w:bCs/>
          <w:sz w:val="24"/>
          <w:szCs w:val="24"/>
        </w:rPr>
        <w:t>(20 April -</w:t>
      </w:r>
      <w:r w:rsidR="004A1D8A" w:rsidRPr="005E7E2B">
        <w:rPr>
          <w:rFonts w:ascii="Times New Roman" w:hAnsi="Times New Roman" w:cs="Times New Roman"/>
          <w:bCs/>
          <w:sz w:val="24"/>
          <w:szCs w:val="24"/>
        </w:rPr>
        <w:t>05 June</w:t>
      </w:r>
      <w:r w:rsidRPr="005E7E2B">
        <w:rPr>
          <w:rFonts w:ascii="Times New Roman" w:hAnsi="Times New Roman" w:cs="Times New Roman"/>
          <w:bCs/>
          <w:sz w:val="24"/>
          <w:szCs w:val="24"/>
        </w:rPr>
        <w:t>) and summer (</w:t>
      </w:r>
      <w:r w:rsidR="004A1D8A" w:rsidRPr="005E7E2B">
        <w:rPr>
          <w:rFonts w:ascii="Times New Roman" w:hAnsi="Times New Roman" w:cs="Times New Roman"/>
          <w:bCs/>
          <w:sz w:val="24"/>
          <w:szCs w:val="24"/>
        </w:rPr>
        <w:t>08</w:t>
      </w:r>
      <w:r w:rsidRPr="005E7E2B">
        <w:rPr>
          <w:rFonts w:ascii="Times New Roman" w:hAnsi="Times New Roman" w:cs="Times New Roman"/>
          <w:bCs/>
          <w:sz w:val="24"/>
          <w:szCs w:val="24"/>
        </w:rPr>
        <w:t xml:space="preserve"> June – 20 July), 2024.</w:t>
      </w:r>
      <w:r>
        <w:rPr>
          <w:rFonts w:ascii="Times New Roman" w:hAnsi="Times New Roman" w:cs="Times New Roman"/>
          <w:bCs/>
          <w:sz w:val="24"/>
          <w:szCs w:val="24"/>
        </w:rPr>
        <w:t xml:space="preserve"> These </w:t>
      </w:r>
      <w:r w:rsidR="00FC146C">
        <w:rPr>
          <w:rFonts w:ascii="Times New Roman" w:hAnsi="Times New Roman" w:cs="Times New Roman"/>
          <w:bCs/>
          <w:sz w:val="24"/>
          <w:szCs w:val="24"/>
        </w:rPr>
        <w:t xml:space="preserve">study </w:t>
      </w:r>
      <w:r>
        <w:rPr>
          <w:rFonts w:ascii="Times New Roman" w:hAnsi="Times New Roman" w:cs="Times New Roman"/>
          <w:bCs/>
          <w:sz w:val="24"/>
          <w:szCs w:val="24"/>
        </w:rPr>
        <w:t>ranges cover</w:t>
      </w:r>
      <w:r w:rsidR="00817626">
        <w:rPr>
          <w:rFonts w:ascii="Times New Roman" w:hAnsi="Times New Roman" w:cs="Times New Roman"/>
          <w:bCs/>
          <w:sz w:val="24"/>
          <w:szCs w:val="24"/>
        </w:rPr>
        <w:t xml:space="preserve"> the approximate dates at which the SMP sample changes from being mostly dominated by yearling Chinook to </w:t>
      </w:r>
      <w:proofErr w:type="spellStart"/>
      <w:r w:rsidR="00817626">
        <w:rPr>
          <w:rFonts w:ascii="Times New Roman" w:hAnsi="Times New Roman" w:cs="Times New Roman"/>
          <w:bCs/>
          <w:sz w:val="24"/>
          <w:szCs w:val="24"/>
        </w:rPr>
        <w:t>subyearling</w:t>
      </w:r>
      <w:proofErr w:type="spellEnd"/>
      <w:r w:rsidR="00817626">
        <w:rPr>
          <w:rFonts w:ascii="Times New Roman" w:hAnsi="Times New Roman" w:cs="Times New Roman"/>
          <w:bCs/>
          <w:sz w:val="24"/>
          <w:szCs w:val="24"/>
        </w:rPr>
        <w:t xml:space="preserve"> Chinook salmon</w:t>
      </w:r>
      <w:r>
        <w:rPr>
          <w:rFonts w:ascii="Times New Roman" w:hAnsi="Times New Roman" w:cs="Times New Roman"/>
          <w:bCs/>
          <w:sz w:val="24"/>
          <w:szCs w:val="24"/>
        </w:rPr>
        <w:t xml:space="preserve"> </w:t>
      </w:r>
      <w:r w:rsidRPr="00126A1C">
        <w:rPr>
          <w:rFonts w:ascii="Times New Roman" w:hAnsi="Times New Roman" w:cs="Times New Roman"/>
          <w:bCs/>
          <w:sz w:val="24"/>
          <w:szCs w:val="24"/>
        </w:rPr>
        <w:t>(</w:t>
      </w:r>
      <w:hyperlink r:id="rId5" w:history="1">
        <w:r w:rsidRPr="00126A1C">
          <w:rPr>
            <w:rStyle w:val="Hyperlink"/>
            <w:rFonts w:ascii="Times New Roman" w:eastAsiaTheme="minorHAnsi" w:hAnsi="Times New Roman" w:cs="Times New Roman"/>
            <w:color w:val="auto"/>
            <w:sz w:val="24"/>
            <w:szCs w:val="24"/>
            <w:u w:val="none"/>
          </w:rPr>
          <w:t>https://www.cbr.washington.edu/dart/query/smolt_hrt</w:t>
        </w:r>
      </w:hyperlink>
      <w:r w:rsidRPr="00126A1C">
        <w:rPr>
          <w:rStyle w:val="Hyperlink"/>
          <w:rFonts w:ascii="Times New Roman" w:eastAsiaTheme="minorHAnsi" w:hAnsi="Times New Roman" w:cs="Times New Roman"/>
          <w:color w:val="auto"/>
          <w:sz w:val="24"/>
          <w:szCs w:val="24"/>
          <w:u w:val="none"/>
        </w:rPr>
        <w:t xml:space="preserve">). </w:t>
      </w:r>
    </w:p>
    <w:p w14:paraId="650B718B" w14:textId="77777777" w:rsidR="0049216A" w:rsidRDefault="0049216A" w:rsidP="00FC146C">
      <w:pPr>
        <w:pStyle w:val="PlainText"/>
        <w:jc w:val="both"/>
        <w:rPr>
          <w:rFonts w:ascii="Times New Roman" w:hAnsi="Times New Roman" w:cs="Times New Roman"/>
          <w:b/>
          <w:sz w:val="24"/>
          <w:szCs w:val="24"/>
        </w:rPr>
      </w:pPr>
    </w:p>
    <w:p w14:paraId="0AD9560E" w14:textId="1A1C9539" w:rsidR="000C2620" w:rsidRPr="000C2620" w:rsidRDefault="008C1B7B" w:rsidP="00FC146C">
      <w:pPr>
        <w:pStyle w:val="PlainText"/>
        <w:jc w:val="both"/>
        <w:rPr>
          <w:bCs/>
        </w:rPr>
      </w:pPr>
      <w:r>
        <w:rPr>
          <w:rFonts w:ascii="Times New Roman" w:hAnsi="Times New Roman" w:cs="Times New Roman"/>
          <w:bCs/>
          <w:sz w:val="24"/>
          <w:szCs w:val="24"/>
        </w:rPr>
        <w:t xml:space="preserve">A randomized block study design will be used to expose </w:t>
      </w:r>
      <w:r w:rsidR="000C2620">
        <w:rPr>
          <w:rFonts w:ascii="Times New Roman" w:hAnsi="Times New Roman" w:cs="Times New Roman"/>
          <w:bCs/>
          <w:sz w:val="24"/>
          <w:szCs w:val="24"/>
        </w:rPr>
        <w:t xml:space="preserve">juvenile </w:t>
      </w:r>
      <w:r>
        <w:rPr>
          <w:rFonts w:ascii="Times New Roman" w:hAnsi="Times New Roman" w:cs="Times New Roman"/>
          <w:bCs/>
          <w:sz w:val="24"/>
          <w:szCs w:val="24"/>
        </w:rPr>
        <w:t>fish to the designated treatments (middle vs. upper 1% operations) to help differentiate the influence of factors not directly related to the treatment comparisons (</w:t>
      </w:r>
      <w:r w:rsidR="006F05A4">
        <w:rPr>
          <w:rFonts w:ascii="Times New Roman" w:hAnsi="Times New Roman" w:cs="Times New Roman"/>
          <w:bCs/>
          <w:sz w:val="24"/>
          <w:szCs w:val="24"/>
        </w:rPr>
        <w:t>e.g.,</w:t>
      </w:r>
      <w:r>
        <w:rPr>
          <w:rFonts w:ascii="Times New Roman" w:hAnsi="Times New Roman" w:cs="Times New Roman"/>
          <w:bCs/>
          <w:sz w:val="24"/>
          <w:szCs w:val="24"/>
        </w:rPr>
        <w:t xml:space="preserve"> river flow, temperature, fish size/species/number,</w:t>
      </w:r>
      <w:r w:rsidR="006F05A4">
        <w:rPr>
          <w:rFonts w:ascii="Times New Roman" w:hAnsi="Times New Roman" w:cs="Times New Roman"/>
          <w:bCs/>
          <w:sz w:val="24"/>
          <w:szCs w:val="24"/>
        </w:rPr>
        <w:t xml:space="preserve"> </w:t>
      </w:r>
      <w:r>
        <w:rPr>
          <w:rFonts w:ascii="Times New Roman" w:hAnsi="Times New Roman" w:cs="Times New Roman"/>
          <w:bCs/>
          <w:sz w:val="24"/>
          <w:szCs w:val="24"/>
        </w:rPr>
        <w:t>etc</w:t>
      </w:r>
      <w:r w:rsidR="006F05A4">
        <w:rPr>
          <w:rFonts w:ascii="Times New Roman" w:hAnsi="Times New Roman" w:cs="Times New Roman"/>
          <w:bCs/>
          <w:sz w:val="24"/>
          <w:szCs w:val="24"/>
        </w:rPr>
        <w:t>.</w:t>
      </w:r>
      <w:r>
        <w:rPr>
          <w:rFonts w:ascii="Times New Roman" w:hAnsi="Times New Roman" w:cs="Times New Roman"/>
          <w:bCs/>
          <w:sz w:val="24"/>
          <w:szCs w:val="24"/>
        </w:rPr>
        <w:t>) that vary throughout the season from the influence of operational treatments of interest.</w:t>
      </w:r>
      <w:r w:rsidR="000C2620">
        <w:rPr>
          <w:rFonts w:ascii="Times New Roman" w:hAnsi="Times New Roman" w:cs="Times New Roman"/>
          <w:bCs/>
          <w:sz w:val="24"/>
          <w:szCs w:val="24"/>
        </w:rPr>
        <w:t xml:space="preserve"> </w:t>
      </w:r>
      <w:r w:rsidR="005D1A60" w:rsidRPr="005D1A60">
        <w:rPr>
          <w:rFonts w:ascii="Times New Roman" w:hAnsi="Times New Roman" w:cs="Times New Roman"/>
          <w:bCs/>
          <w:sz w:val="24"/>
          <w:szCs w:val="24"/>
        </w:rPr>
        <w:t>The block-treatment study design will result in ten 24-hour SMP samples during mid 1% peak efficiency range operations and ten 24-hour SMP samples during upper 1% peak efficiency range operations during spring and nine 24-hour SMP samples during both mid and upper 1% range operations in summer.</w:t>
      </w:r>
      <w:r w:rsidR="005D1A60">
        <w:rPr>
          <w:rFonts w:ascii="Times New Roman" w:hAnsi="Times New Roman" w:cs="Times New Roman"/>
          <w:bCs/>
          <w:sz w:val="24"/>
          <w:szCs w:val="24"/>
        </w:rPr>
        <w:t xml:space="preserve"> </w:t>
      </w:r>
      <w:r w:rsidR="000C2620" w:rsidRPr="000C2620">
        <w:rPr>
          <w:rFonts w:ascii="Times New Roman" w:hAnsi="Times New Roman" w:cs="Times New Roman"/>
          <w:bCs/>
          <w:sz w:val="24"/>
          <w:szCs w:val="24"/>
        </w:rPr>
        <w:t>All fish sampled in the J</w:t>
      </w:r>
      <w:r w:rsidR="000C2620">
        <w:rPr>
          <w:rFonts w:ascii="Times New Roman" w:hAnsi="Times New Roman" w:cs="Times New Roman"/>
          <w:bCs/>
          <w:sz w:val="24"/>
          <w:szCs w:val="24"/>
        </w:rPr>
        <w:t>M</w:t>
      </w:r>
      <w:r w:rsidR="000C2620" w:rsidRPr="000C2620">
        <w:rPr>
          <w:rFonts w:ascii="Times New Roman" w:hAnsi="Times New Roman" w:cs="Times New Roman"/>
          <w:bCs/>
          <w:sz w:val="24"/>
          <w:szCs w:val="24"/>
        </w:rPr>
        <w:t>F during each treatment and season will be combined to produce spring mid</w:t>
      </w:r>
      <w:r w:rsidR="000C2620">
        <w:rPr>
          <w:rFonts w:ascii="Times New Roman" w:hAnsi="Times New Roman" w:cs="Times New Roman"/>
          <w:bCs/>
          <w:sz w:val="24"/>
          <w:szCs w:val="24"/>
        </w:rPr>
        <w:t>dle</w:t>
      </w:r>
      <w:r w:rsidR="000C2620" w:rsidRPr="000C2620">
        <w:rPr>
          <w:rFonts w:ascii="Times New Roman" w:hAnsi="Times New Roman" w:cs="Times New Roman"/>
          <w:bCs/>
          <w:sz w:val="24"/>
          <w:szCs w:val="24"/>
        </w:rPr>
        <w:t xml:space="preserve"> 1% descaling and mortality rates, spring upper 1% descaling and mortality rates, summer mid</w:t>
      </w:r>
      <w:r w:rsidR="000C2620">
        <w:rPr>
          <w:rFonts w:ascii="Times New Roman" w:hAnsi="Times New Roman" w:cs="Times New Roman"/>
          <w:bCs/>
          <w:sz w:val="24"/>
          <w:szCs w:val="24"/>
        </w:rPr>
        <w:t xml:space="preserve">dle </w:t>
      </w:r>
      <w:r w:rsidR="000C2620" w:rsidRPr="000C2620">
        <w:rPr>
          <w:rFonts w:ascii="Times New Roman" w:hAnsi="Times New Roman" w:cs="Times New Roman"/>
          <w:bCs/>
          <w:sz w:val="24"/>
          <w:szCs w:val="24"/>
        </w:rPr>
        <w:t>1% descaling and mortality rates, and summer upper 1% descaling and mortality rates. Descaling and mortality rates will be compared between mid</w:t>
      </w:r>
      <w:r w:rsidR="000C2620">
        <w:rPr>
          <w:rFonts w:ascii="Times New Roman" w:hAnsi="Times New Roman" w:cs="Times New Roman"/>
          <w:bCs/>
          <w:sz w:val="24"/>
          <w:szCs w:val="24"/>
        </w:rPr>
        <w:t>dle</w:t>
      </w:r>
      <w:r w:rsidR="000C2620" w:rsidRPr="000C2620">
        <w:rPr>
          <w:rFonts w:ascii="Times New Roman" w:hAnsi="Times New Roman" w:cs="Times New Roman"/>
          <w:bCs/>
          <w:sz w:val="24"/>
          <w:szCs w:val="24"/>
        </w:rPr>
        <w:t xml:space="preserve"> and upper 1% operations separately for spring and summer.</w:t>
      </w:r>
      <w:r w:rsidR="000C2620" w:rsidRPr="000C2620">
        <w:rPr>
          <w:bCs/>
          <w:sz w:val="24"/>
          <w:szCs w:val="24"/>
        </w:rPr>
        <w:t xml:space="preserve"> </w:t>
      </w:r>
    </w:p>
    <w:p w14:paraId="1773A512" w14:textId="4EC706BD" w:rsidR="008C1B7B" w:rsidRDefault="008C1B7B" w:rsidP="00FC146C">
      <w:pPr>
        <w:pStyle w:val="PlainText"/>
        <w:jc w:val="both"/>
        <w:rPr>
          <w:rFonts w:ascii="Times New Roman" w:hAnsi="Times New Roman" w:cs="Times New Roman"/>
          <w:bCs/>
          <w:sz w:val="24"/>
          <w:szCs w:val="24"/>
        </w:rPr>
      </w:pPr>
    </w:p>
    <w:p w14:paraId="44BCE71C" w14:textId="14CC409A" w:rsidR="00F07CB5" w:rsidRDefault="00F07CB5" w:rsidP="00FC146C">
      <w:pPr>
        <w:pStyle w:val="PlainText"/>
        <w:jc w:val="both"/>
        <w:rPr>
          <w:rFonts w:ascii="Times New Roman" w:hAnsi="Times New Roman" w:cs="Times New Roman"/>
          <w:bCs/>
          <w:sz w:val="24"/>
          <w:szCs w:val="24"/>
        </w:rPr>
      </w:pPr>
      <w:r>
        <w:rPr>
          <w:rFonts w:ascii="Times New Roman" w:hAnsi="Times New Roman" w:cs="Times New Roman"/>
          <w:bCs/>
          <w:sz w:val="24"/>
          <w:szCs w:val="24"/>
        </w:rPr>
        <w:lastRenderedPageBreak/>
        <w:t>In addition to the study outlined above, an impingement study to evaluate potential fish impingement on the Vertical Barrier Screens (VBSs) of a single unit will occur on selected dates through the spring and summer test periods. This study involves the use of acoustic</w:t>
      </w:r>
      <w:r w:rsidR="00A11A36">
        <w:rPr>
          <w:rFonts w:ascii="Times New Roman" w:hAnsi="Times New Roman" w:cs="Times New Roman"/>
          <w:bCs/>
          <w:sz w:val="24"/>
          <w:szCs w:val="24"/>
        </w:rPr>
        <w:t xml:space="preserve"> underwater</w:t>
      </w:r>
      <w:r>
        <w:rPr>
          <w:rFonts w:ascii="Times New Roman" w:hAnsi="Times New Roman" w:cs="Times New Roman"/>
          <w:bCs/>
          <w:sz w:val="24"/>
          <w:szCs w:val="24"/>
        </w:rPr>
        <w:t xml:space="preserve"> cameras (sonars) and spot checks using the STS/VBS video inspection truck. The sonars will be deployed in </w:t>
      </w:r>
      <w:proofErr w:type="spellStart"/>
      <w:r>
        <w:rPr>
          <w:rFonts w:ascii="Times New Roman" w:hAnsi="Times New Roman" w:cs="Times New Roman"/>
          <w:bCs/>
          <w:sz w:val="24"/>
          <w:szCs w:val="24"/>
        </w:rPr>
        <w:t>gatewells</w:t>
      </w:r>
      <w:proofErr w:type="spellEnd"/>
      <w:r>
        <w:rPr>
          <w:rFonts w:ascii="Times New Roman" w:hAnsi="Times New Roman" w:cs="Times New Roman"/>
          <w:bCs/>
          <w:sz w:val="24"/>
          <w:szCs w:val="24"/>
        </w:rPr>
        <w:t xml:space="preserve"> 15A (modified) and 15C (unmodified) during specified operations in the middle and upper 1% peak efficiency range. </w:t>
      </w:r>
      <w:r w:rsidR="00A11A36">
        <w:rPr>
          <w:rFonts w:ascii="Times New Roman" w:hAnsi="Times New Roman" w:cs="Times New Roman"/>
          <w:bCs/>
          <w:sz w:val="24"/>
          <w:szCs w:val="24"/>
        </w:rPr>
        <w:t xml:space="preserve">Acoustic camera sampling will occur over a 24hr period (≈0700 to 0700) once per week during the </w:t>
      </w:r>
      <w:r w:rsidR="00A00F02">
        <w:rPr>
          <w:rFonts w:ascii="Times New Roman" w:hAnsi="Times New Roman" w:cs="Times New Roman"/>
          <w:bCs/>
          <w:sz w:val="24"/>
          <w:szCs w:val="24"/>
        </w:rPr>
        <w:t>study periods</w:t>
      </w:r>
      <w:r w:rsidR="00A11A36">
        <w:rPr>
          <w:rFonts w:ascii="Times New Roman" w:hAnsi="Times New Roman" w:cs="Times New Roman"/>
          <w:bCs/>
          <w:sz w:val="24"/>
          <w:szCs w:val="24"/>
        </w:rPr>
        <w:t xml:space="preserve">. Unit 15 is the unit of choice for this evaluation due to the extensive research of flow conditions and fish passage that has been conducted historically at Unit 15. However, if a Unit 15 outage occurs during the impingement evaluation, Unit 16 will be the next in priority for this evaluation. </w:t>
      </w:r>
      <w:r w:rsidR="00A00F02" w:rsidRPr="00A00F02">
        <w:rPr>
          <w:rFonts w:ascii="Times New Roman" w:hAnsi="Times New Roman" w:cs="Times New Roman"/>
          <w:bCs/>
          <w:sz w:val="24"/>
          <w:szCs w:val="24"/>
        </w:rPr>
        <w:t xml:space="preserve">In addition, to ensure </w:t>
      </w:r>
      <w:r w:rsidR="00A00F02">
        <w:rPr>
          <w:rFonts w:ascii="Times New Roman" w:hAnsi="Times New Roman" w:cs="Times New Roman"/>
          <w:bCs/>
          <w:sz w:val="24"/>
          <w:szCs w:val="24"/>
        </w:rPr>
        <w:t>U</w:t>
      </w:r>
      <w:r w:rsidR="00A00F02" w:rsidRPr="00A00F02">
        <w:rPr>
          <w:rFonts w:ascii="Times New Roman" w:hAnsi="Times New Roman" w:cs="Times New Roman"/>
          <w:bCs/>
          <w:sz w:val="24"/>
          <w:szCs w:val="24"/>
        </w:rPr>
        <w:t xml:space="preserve">nits 15 </w:t>
      </w:r>
      <w:r w:rsidR="00A00F02">
        <w:rPr>
          <w:rFonts w:ascii="Times New Roman" w:hAnsi="Times New Roman" w:cs="Times New Roman"/>
          <w:bCs/>
          <w:sz w:val="24"/>
          <w:szCs w:val="24"/>
        </w:rPr>
        <w:t>(or</w:t>
      </w:r>
      <w:r w:rsidR="00A00F02" w:rsidRPr="00A00F02">
        <w:rPr>
          <w:rFonts w:ascii="Times New Roman" w:hAnsi="Times New Roman" w:cs="Times New Roman"/>
          <w:bCs/>
          <w:sz w:val="24"/>
          <w:szCs w:val="24"/>
        </w:rPr>
        <w:t xml:space="preserve"> 16</w:t>
      </w:r>
      <w:r w:rsidR="00A00F02">
        <w:rPr>
          <w:rFonts w:ascii="Times New Roman" w:hAnsi="Times New Roman" w:cs="Times New Roman"/>
          <w:bCs/>
          <w:sz w:val="24"/>
          <w:szCs w:val="24"/>
        </w:rPr>
        <w:t>)</w:t>
      </w:r>
      <w:r w:rsidR="00A00F02" w:rsidRPr="00A00F02">
        <w:rPr>
          <w:rFonts w:ascii="Times New Roman" w:hAnsi="Times New Roman" w:cs="Times New Roman"/>
          <w:bCs/>
          <w:sz w:val="24"/>
          <w:szCs w:val="24"/>
        </w:rPr>
        <w:t xml:space="preserve"> are operating at the time of the scheduled impingement evaluations, the turbine unit priority order will need to be adjusted on impingement evaluation days</w:t>
      </w:r>
      <w:r w:rsidR="00A00F02">
        <w:rPr>
          <w:rFonts w:ascii="Times New Roman" w:hAnsi="Times New Roman" w:cs="Times New Roman"/>
          <w:bCs/>
          <w:sz w:val="24"/>
          <w:szCs w:val="24"/>
        </w:rPr>
        <w:t>.</w:t>
      </w:r>
    </w:p>
    <w:p w14:paraId="06134683" w14:textId="77777777" w:rsidR="00A00F02" w:rsidRDefault="00A00F02" w:rsidP="00FC146C">
      <w:pPr>
        <w:pStyle w:val="PlainText"/>
        <w:jc w:val="both"/>
        <w:rPr>
          <w:rFonts w:ascii="Times New Roman" w:hAnsi="Times New Roman" w:cs="Times New Roman"/>
          <w:bCs/>
          <w:sz w:val="24"/>
          <w:szCs w:val="24"/>
        </w:rPr>
      </w:pPr>
    </w:p>
    <w:p w14:paraId="0EC787FC" w14:textId="42D4F71C" w:rsidR="00A00F02" w:rsidRDefault="00A00F02" w:rsidP="00FC146C">
      <w:pPr>
        <w:pStyle w:val="BodyText"/>
        <w:jc w:val="both"/>
      </w:pPr>
      <w:r w:rsidRPr="00CC05BB">
        <w:t>The mobile imaging sonar</w:t>
      </w:r>
      <w:r>
        <w:t>s</w:t>
      </w:r>
      <w:r w:rsidRPr="00CC05BB">
        <w:t xml:space="preserve"> w</w:t>
      </w:r>
      <w:r>
        <w:t xml:space="preserve">ill be </w:t>
      </w:r>
      <w:r w:rsidRPr="00CC05BB">
        <w:t>deploy</w:t>
      </w:r>
      <w:r>
        <w:t>ed</w:t>
      </w:r>
      <w:r w:rsidRPr="00CC05BB">
        <w:t xml:space="preserve"> using a portable A-frame crane</w:t>
      </w:r>
      <w:r>
        <w:t xml:space="preserve"> with electric winch</w:t>
      </w:r>
      <w:r w:rsidRPr="00CC05BB">
        <w:t xml:space="preserve"> </w:t>
      </w:r>
      <w:r>
        <w:t xml:space="preserve">attached to a </w:t>
      </w:r>
      <w:r w:rsidRPr="00CC05BB">
        <w:t>weighted aluminum frame</w:t>
      </w:r>
      <w:r>
        <w:t>.</w:t>
      </w:r>
      <w:r w:rsidRPr="00CC05BB">
        <w:t xml:space="preserve"> </w:t>
      </w:r>
      <w:r>
        <w:t xml:space="preserve">The frame will be lowered to the desired elevation </w:t>
      </w:r>
      <w:r w:rsidR="00ED7682">
        <w:t xml:space="preserve">near </w:t>
      </w:r>
      <w:r>
        <w:t xml:space="preserve">58 ft msl (16 ft deep) and oriented to sample along the VBS face. The sonar location within the </w:t>
      </w:r>
      <w:proofErr w:type="spellStart"/>
      <w:r>
        <w:t>gatewell</w:t>
      </w:r>
      <w:proofErr w:type="spellEnd"/>
      <w:r>
        <w:t xml:space="preserve"> will be similar for 15A, 15C, 16A, and 16C throughout the spring and summer sampling periods and oriented to sample the bottom northern portion of the VBS, which corresponds to the regions of highest through-screen velocity as measured by Alden (2022). </w:t>
      </w:r>
    </w:p>
    <w:p w14:paraId="37194E96" w14:textId="216C2F09" w:rsidR="00B8730E" w:rsidRPr="00BA5674" w:rsidRDefault="00B8730E" w:rsidP="00FC146C">
      <w:pPr>
        <w:pStyle w:val="BodyText"/>
        <w:jc w:val="both"/>
        <w:rPr>
          <w:rFonts w:eastAsiaTheme="minorHAnsi"/>
        </w:rPr>
      </w:pPr>
      <w:r>
        <w:t>Sonar samples will be supplemented by conducting spot checks of impingement using the optical video cameras on the STS/VBS video monitoring truck during standard STS/VBS inspections performed by project staff. A digital video recorder will be attached to the truck feed to record and document the spot check results</w:t>
      </w:r>
      <w:r w:rsidR="007A45A2">
        <w:t xml:space="preserve"> in the </w:t>
      </w:r>
      <w:proofErr w:type="spellStart"/>
      <w:r w:rsidR="007A45A2">
        <w:t>gatewells</w:t>
      </w:r>
      <w:proofErr w:type="spellEnd"/>
      <w:r>
        <w:t>.</w:t>
      </w:r>
    </w:p>
    <w:p w14:paraId="445B156F" w14:textId="77777777" w:rsidR="0069722A" w:rsidRPr="008C1B7B" w:rsidRDefault="0069722A" w:rsidP="00B43BDE">
      <w:pPr>
        <w:pStyle w:val="PlainText"/>
        <w:rPr>
          <w:rFonts w:ascii="Times New Roman" w:hAnsi="Times New Roman" w:cs="Times New Roman"/>
          <w:bCs/>
          <w:sz w:val="24"/>
          <w:szCs w:val="24"/>
        </w:rPr>
      </w:pPr>
    </w:p>
    <w:p w14:paraId="030FDBB5" w14:textId="77777777"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Type of outage </w:t>
      </w:r>
      <w:proofErr w:type="gramStart"/>
      <w:r w:rsidRPr="000E317F">
        <w:rPr>
          <w:rFonts w:ascii="Times New Roman" w:hAnsi="Times New Roman" w:cs="Times New Roman"/>
          <w:b/>
          <w:sz w:val="24"/>
          <w:szCs w:val="24"/>
        </w:rPr>
        <w:t>required</w:t>
      </w:r>
      <w:proofErr w:type="gramEnd"/>
    </w:p>
    <w:p w14:paraId="05B1E313" w14:textId="77777777" w:rsidR="00707EF5" w:rsidRDefault="00707EF5" w:rsidP="00B43BDE">
      <w:pPr>
        <w:pStyle w:val="PlainText"/>
        <w:rPr>
          <w:rFonts w:ascii="Times New Roman" w:hAnsi="Times New Roman" w:cs="Times New Roman"/>
          <w:b/>
          <w:sz w:val="24"/>
          <w:szCs w:val="24"/>
        </w:rPr>
      </w:pPr>
    </w:p>
    <w:p w14:paraId="68165A0E" w14:textId="1C4DA5C5" w:rsidR="00707EF5" w:rsidRPr="00707EF5" w:rsidRDefault="00707EF5" w:rsidP="00B43BDE">
      <w:pPr>
        <w:pStyle w:val="PlainText"/>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No outages are required to support the study.</w:t>
      </w:r>
    </w:p>
    <w:p w14:paraId="126C6C0C" w14:textId="77777777" w:rsidR="009827E8" w:rsidRPr="000E317F" w:rsidRDefault="009827E8" w:rsidP="00B43BDE">
      <w:pPr>
        <w:pStyle w:val="PlainText"/>
        <w:rPr>
          <w:rFonts w:ascii="Times New Roman" w:hAnsi="Times New Roman" w:cs="Times New Roman"/>
          <w:b/>
          <w:sz w:val="24"/>
          <w:szCs w:val="24"/>
        </w:rPr>
      </w:pPr>
    </w:p>
    <w:p w14:paraId="4243D2D9" w14:textId="06B84D7A" w:rsidR="0045529D" w:rsidRDefault="00B43BDE" w:rsidP="00243D4D">
      <w:pPr>
        <w:pStyle w:val="PlainText"/>
        <w:ind w:firstLine="720"/>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3E7488">
        <w:rPr>
          <w:rFonts w:ascii="Times New Roman" w:hAnsi="Times New Roman" w:cs="Times New Roman"/>
          <w:b/>
          <w:sz w:val="24"/>
          <w:szCs w:val="24"/>
        </w:rPr>
        <w:t xml:space="preserve"> </w:t>
      </w:r>
      <w:r w:rsidR="003E7488" w:rsidRPr="00243D4D">
        <w:rPr>
          <w:rFonts w:ascii="Times New Roman" w:hAnsi="Times New Roman" w:cs="Times New Roman"/>
          <w:sz w:val="24"/>
          <w:szCs w:val="24"/>
        </w:rPr>
        <w:t>(FPP deviations)</w:t>
      </w:r>
      <w:r w:rsidR="002E6532">
        <w:rPr>
          <w:rFonts w:ascii="Times New Roman" w:hAnsi="Times New Roman" w:cs="Times New Roman"/>
          <w:sz w:val="24"/>
          <w:szCs w:val="24"/>
        </w:rPr>
        <w:t xml:space="preserve"> </w:t>
      </w:r>
    </w:p>
    <w:p w14:paraId="2AB0A745" w14:textId="6EE23E22" w:rsidR="002E6532" w:rsidRDefault="00707EF5" w:rsidP="00243D4D">
      <w:pPr>
        <w:pStyle w:val="PlainText"/>
        <w:ind w:firstLine="720"/>
        <w:rPr>
          <w:rFonts w:ascii="Times New Roman" w:hAnsi="Times New Roman" w:cs="Times New Roman"/>
          <w:sz w:val="24"/>
          <w:szCs w:val="24"/>
        </w:rPr>
      </w:pPr>
      <w:r>
        <w:rPr>
          <w:rFonts w:ascii="Times New Roman" w:hAnsi="Times New Roman" w:cs="Times New Roman"/>
          <w:sz w:val="24"/>
          <w:szCs w:val="24"/>
        </w:rPr>
        <w:t>See below for specified FPP deviations.</w:t>
      </w:r>
    </w:p>
    <w:p w14:paraId="7F720E0C" w14:textId="77777777" w:rsidR="0045529D" w:rsidRDefault="0045529D" w:rsidP="00243D4D">
      <w:pPr>
        <w:pStyle w:val="PlainText"/>
        <w:ind w:firstLine="720"/>
        <w:rPr>
          <w:rFonts w:ascii="Times New Roman" w:hAnsi="Times New Roman" w:cs="Times New Roman"/>
          <w:sz w:val="24"/>
          <w:szCs w:val="24"/>
        </w:rPr>
      </w:pPr>
    </w:p>
    <w:p w14:paraId="583B60C6" w14:textId="77777777" w:rsidR="002E6532" w:rsidRDefault="0099716B" w:rsidP="002E6532">
      <w:pPr>
        <w:pStyle w:val="PlainText"/>
        <w:ind w:firstLine="720"/>
        <w:rPr>
          <w:rFonts w:ascii="Times New Roman" w:hAnsi="Times New Roman" w:cs="Times New Roman"/>
          <w:sz w:val="24"/>
          <w:szCs w:val="24"/>
        </w:rPr>
      </w:pPr>
      <w:r>
        <w:rPr>
          <w:rFonts w:ascii="Times New Roman" w:hAnsi="Times New Roman" w:cs="Times New Roman"/>
          <w:b/>
          <w:sz w:val="24"/>
          <w:szCs w:val="24"/>
        </w:rPr>
        <w:t>Impact on unit priority</w:t>
      </w:r>
      <w:r w:rsidR="002E6532" w:rsidRPr="002E6532">
        <w:rPr>
          <w:rFonts w:ascii="Times New Roman" w:hAnsi="Times New Roman" w:cs="Times New Roman"/>
          <w:sz w:val="24"/>
          <w:szCs w:val="24"/>
        </w:rPr>
        <w:t xml:space="preserve"> </w:t>
      </w:r>
    </w:p>
    <w:p w14:paraId="0693A4AD" w14:textId="5F54EE00" w:rsidR="002E6532" w:rsidRDefault="002E6532" w:rsidP="002E6532">
      <w:pPr>
        <w:pStyle w:val="PlainText"/>
        <w:ind w:firstLine="720"/>
        <w:rPr>
          <w:rFonts w:ascii="Times New Roman" w:hAnsi="Times New Roman" w:cs="Times New Roman"/>
          <w:sz w:val="24"/>
          <w:szCs w:val="24"/>
        </w:rPr>
      </w:pPr>
      <w:r>
        <w:rPr>
          <w:rFonts w:ascii="Times New Roman" w:hAnsi="Times New Roman" w:cs="Times New Roman"/>
          <w:sz w:val="24"/>
          <w:szCs w:val="24"/>
        </w:rPr>
        <w:t>Section 4.1 Turbine Unit Priority Order</w:t>
      </w:r>
    </w:p>
    <w:p w14:paraId="6921372B" w14:textId="77777777" w:rsidR="002E6532" w:rsidRDefault="002E6532" w:rsidP="002E6532">
      <w:pPr>
        <w:pStyle w:val="PlainText"/>
        <w:ind w:firstLine="720"/>
        <w:rPr>
          <w:rFonts w:ascii="Times New Roman" w:hAnsi="Times New Roman" w:cs="Times New Roman"/>
          <w:sz w:val="24"/>
          <w:szCs w:val="24"/>
        </w:rPr>
      </w:pPr>
      <w:r>
        <w:rPr>
          <w:rFonts w:ascii="Times New Roman" w:hAnsi="Times New Roman" w:cs="Times New Roman"/>
          <w:sz w:val="24"/>
          <w:szCs w:val="24"/>
        </w:rPr>
        <w:t>Impingement test operations will result in PH2 units being operated out of unit priority order as defined in FPP Table BON-13.</w:t>
      </w:r>
    </w:p>
    <w:p w14:paraId="3A4E60E9" w14:textId="77777777" w:rsidR="002E6532" w:rsidRDefault="002E6532" w:rsidP="002E6532">
      <w:pPr>
        <w:shd w:val="clear" w:color="auto" w:fill="FFFFFF"/>
        <w:spacing w:line="240" w:lineRule="atLeast"/>
        <w:ind w:left="1440"/>
        <w:jc w:val="both"/>
      </w:pPr>
      <w:r>
        <w:rPr>
          <w:color w:val="000000"/>
        </w:rPr>
        <w:t xml:space="preserve">        Normal FPP PH2 Unit Priority - 11, 18, 12, 17, 13, 14, 15, 16</w:t>
      </w:r>
    </w:p>
    <w:p w14:paraId="6479D22A" w14:textId="0B8188DB" w:rsidR="0099716B" w:rsidRPr="00707EF5" w:rsidRDefault="002E6532" w:rsidP="00707EF5">
      <w:pPr>
        <w:shd w:val="clear" w:color="auto" w:fill="FFFFFF"/>
        <w:spacing w:line="240" w:lineRule="atLeast"/>
        <w:ind w:left="720"/>
        <w:jc w:val="both"/>
        <w:rPr>
          <w:color w:val="FF0000"/>
        </w:rPr>
      </w:pPr>
      <w:r>
        <w:rPr>
          <w:i/>
          <w:iCs/>
          <w:color w:val="000000"/>
        </w:rPr>
        <w:t xml:space="preserve">  During specified impingement evaluations</w:t>
      </w:r>
      <w:r>
        <w:rPr>
          <w:color w:val="000000"/>
        </w:rPr>
        <w:t xml:space="preserve"> - 11, 18, </w:t>
      </w:r>
      <w:r w:rsidRPr="00CC7D17">
        <w:rPr>
          <w:color w:val="FF0000"/>
        </w:rPr>
        <w:t>15, 16, 14, 12, 17, 13</w:t>
      </w:r>
    </w:p>
    <w:p w14:paraId="308082E1" w14:textId="77777777" w:rsidR="0099716B" w:rsidRDefault="0099716B" w:rsidP="0099716B">
      <w:pPr>
        <w:pStyle w:val="PlainText"/>
        <w:rPr>
          <w:rFonts w:ascii="Times New Roman" w:hAnsi="Times New Roman" w:cs="Times New Roman"/>
          <w:b/>
          <w:sz w:val="24"/>
          <w:szCs w:val="24"/>
        </w:rPr>
      </w:pPr>
    </w:p>
    <w:p w14:paraId="4D29C19D" w14:textId="4E963DCB" w:rsidR="0099716B" w:rsidRDefault="0099716B" w:rsidP="00243D4D">
      <w:pPr>
        <w:pStyle w:val="PlainText"/>
        <w:ind w:firstLine="720"/>
        <w:rPr>
          <w:rFonts w:ascii="Times New Roman" w:hAnsi="Times New Roman" w:cs="Times New Roman"/>
          <w:b/>
          <w:sz w:val="24"/>
          <w:szCs w:val="24"/>
        </w:rPr>
      </w:pPr>
      <w:r>
        <w:rPr>
          <w:rFonts w:ascii="Times New Roman" w:hAnsi="Times New Roman" w:cs="Times New Roman"/>
          <w:b/>
          <w:sz w:val="24"/>
          <w:szCs w:val="24"/>
        </w:rPr>
        <w:t>Impact on forebay/tailwater operatio</w:t>
      </w:r>
      <w:r w:rsidR="00B638B9">
        <w:rPr>
          <w:rFonts w:ascii="Times New Roman" w:hAnsi="Times New Roman" w:cs="Times New Roman"/>
          <w:b/>
          <w:sz w:val="24"/>
          <w:szCs w:val="24"/>
        </w:rPr>
        <w:t>n</w:t>
      </w:r>
    </w:p>
    <w:p w14:paraId="096B72E8" w14:textId="68E0B674" w:rsidR="002E6532" w:rsidRDefault="002E6532" w:rsidP="00342A20">
      <w:pPr>
        <w:pStyle w:val="PlainText"/>
        <w:ind w:left="720"/>
        <w:jc w:val="both"/>
        <w:rPr>
          <w:rFonts w:ascii="Times New Roman" w:hAnsi="Times New Roman" w:cs="Times New Roman"/>
          <w:bCs/>
          <w:sz w:val="24"/>
          <w:szCs w:val="24"/>
        </w:rPr>
      </w:pPr>
      <w:r>
        <w:rPr>
          <w:rFonts w:ascii="Times New Roman" w:hAnsi="Times New Roman" w:cs="Times New Roman"/>
          <w:bCs/>
          <w:sz w:val="24"/>
          <w:szCs w:val="24"/>
        </w:rPr>
        <w:t xml:space="preserve">Forebay operation: </w:t>
      </w:r>
      <w:r w:rsidR="00CC7D17">
        <w:rPr>
          <w:rFonts w:ascii="Times New Roman" w:hAnsi="Times New Roman" w:cs="Times New Roman"/>
          <w:bCs/>
          <w:sz w:val="24"/>
          <w:szCs w:val="24"/>
        </w:rPr>
        <w:t xml:space="preserve"> To allow B2 units to operate within the upper 1% peak efficiency treatment </w:t>
      </w:r>
      <w:r w:rsidR="000F6A36">
        <w:rPr>
          <w:rFonts w:ascii="Times New Roman" w:hAnsi="Times New Roman" w:cs="Times New Roman"/>
          <w:bCs/>
          <w:sz w:val="24"/>
          <w:szCs w:val="24"/>
        </w:rPr>
        <w:t xml:space="preserve">flow range </w:t>
      </w:r>
      <w:r w:rsidR="00CC7D17">
        <w:rPr>
          <w:rFonts w:ascii="Times New Roman" w:hAnsi="Times New Roman" w:cs="Times New Roman"/>
          <w:bCs/>
          <w:sz w:val="24"/>
          <w:szCs w:val="24"/>
        </w:rPr>
        <w:t xml:space="preserve">during periods </w:t>
      </w:r>
      <w:r>
        <w:rPr>
          <w:rFonts w:ascii="Times New Roman" w:hAnsi="Times New Roman" w:cs="Times New Roman"/>
          <w:bCs/>
          <w:sz w:val="24"/>
          <w:szCs w:val="24"/>
        </w:rPr>
        <w:t xml:space="preserve">when overall project head </w:t>
      </w:r>
      <w:r w:rsidR="00CC7D17">
        <w:rPr>
          <w:rFonts w:ascii="Times New Roman" w:hAnsi="Times New Roman" w:cs="Times New Roman"/>
          <w:bCs/>
          <w:sz w:val="24"/>
          <w:szCs w:val="24"/>
        </w:rPr>
        <w:t>is near</w:t>
      </w:r>
      <w:r>
        <w:rPr>
          <w:rFonts w:ascii="Times New Roman" w:hAnsi="Times New Roman" w:cs="Times New Roman"/>
          <w:bCs/>
          <w:sz w:val="24"/>
          <w:szCs w:val="24"/>
        </w:rPr>
        <w:t xml:space="preserve"> </w:t>
      </w:r>
      <w:r w:rsidR="00CC7D17">
        <w:rPr>
          <w:rFonts w:ascii="Times New Roman" w:hAnsi="Times New Roman" w:cs="Times New Roman"/>
          <w:bCs/>
          <w:sz w:val="24"/>
          <w:szCs w:val="24"/>
        </w:rPr>
        <w:t>5</w:t>
      </w:r>
      <w:r w:rsidR="000F6A36">
        <w:rPr>
          <w:rFonts w:ascii="Times New Roman" w:hAnsi="Times New Roman" w:cs="Times New Roman"/>
          <w:bCs/>
          <w:sz w:val="24"/>
          <w:szCs w:val="24"/>
        </w:rPr>
        <w:t>7</w:t>
      </w:r>
      <w:r w:rsidR="00CC7D17">
        <w:rPr>
          <w:rFonts w:ascii="Times New Roman" w:hAnsi="Times New Roman" w:cs="Times New Roman"/>
          <w:bCs/>
          <w:sz w:val="24"/>
          <w:szCs w:val="24"/>
        </w:rPr>
        <w:t>’ or greater</w:t>
      </w:r>
      <w:r>
        <w:rPr>
          <w:rFonts w:ascii="Times New Roman" w:hAnsi="Times New Roman" w:cs="Times New Roman"/>
          <w:bCs/>
          <w:sz w:val="24"/>
          <w:szCs w:val="24"/>
        </w:rPr>
        <w:t>,</w:t>
      </w:r>
      <w:r w:rsidR="00CC7D17">
        <w:rPr>
          <w:rFonts w:ascii="Times New Roman" w:hAnsi="Times New Roman" w:cs="Times New Roman"/>
          <w:bCs/>
          <w:sz w:val="24"/>
          <w:szCs w:val="24"/>
        </w:rPr>
        <w:t xml:space="preserve"> a lower</w:t>
      </w:r>
      <w:r>
        <w:rPr>
          <w:rFonts w:ascii="Times New Roman" w:hAnsi="Times New Roman" w:cs="Times New Roman"/>
          <w:bCs/>
          <w:sz w:val="24"/>
          <w:szCs w:val="24"/>
        </w:rPr>
        <w:t xml:space="preserve"> forebay </w:t>
      </w:r>
      <w:r w:rsidR="004E2E3A">
        <w:rPr>
          <w:rFonts w:ascii="Times New Roman" w:hAnsi="Times New Roman" w:cs="Times New Roman"/>
          <w:bCs/>
          <w:sz w:val="24"/>
          <w:szCs w:val="24"/>
        </w:rPr>
        <w:t xml:space="preserve">operating range </w:t>
      </w:r>
      <w:r>
        <w:rPr>
          <w:rFonts w:ascii="Times New Roman" w:hAnsi="Times New Roman" w:cs="Times New Roman"/>
          <w:bCs/>
          <w:sz w:val="24"/>
          <w:szCs w:val="24"/>
        </w:rPr>
        <w:t xml:space="preserve">(71.5’ – 73.0’) </w:t>
      </w:r>
      <w:r w:rsidR="00CC7D17">
        <w:rPr>
          <w:rFonts w:ascii="Times New Roman" w:hAnsi="Times New Roman" w:cs="Times New Roman"/>
          <w:bCs/>
          <w:sz w:val="24"/>
          <w:szCs w:val="24"/>
        </w:rPr>
        <w:t>may be needed</w:t>
      </w:r>
      <w:r w:rsidR="00A5263D">
        <w:rPr>
          <w:rFonts w:ascii="Times New Roman" w:hAnsi="Times New Roman" w:cs="Times New Roman"/>
          <w:bCs/>
          <w:sz w:val="24"/>
          <w:szCs w:val="24"/>
        </w:rPr>
        <w:t xml:space="preserve"> within the normal forebay operating range</w:t>
      </w:r>
      <w:r>
        <w:rPr>
          <w:rFonts w:ascii="Times New Roman" w:hAnsi="Times New Roman" w:cs="Times New Roman"/>
          <w:bCs/>
          <w:sz w:val="24"/>
          <w:szCs w:val="24"/>
        </w:rPr>
        <w:t xml:space="preserve">. This </w:t>
      </w:r>
      <w:r w:rsidR="000F6A36">
        <w:rPr>
          <w:rFonts w:ascii="Times New Roman" w:hAnsi="Times New Roman" w:cs="Times New Roman"/>
          <w:bCs/>
          <w:sz w:val="24"/>
          <w:szCs w:val="24"/>
        </w:rPr>
        <w:t>operating range</w:t>
      </w:r>
      <w:r w:rsidR="00CC7D17">
        <w:rPr>
          <w:rFonts w:ascii="Times New Roman" w:hAnsi="Times New Roman" w:cs="Times New Roman"/>
          <w:bCs/>
          <w:sz w:val="24"/>
          <w:szCs w:val="24"/>
        </w:rPr>
        <w:t xml:space="preserve"> </w:t>
      </w:r>
      <w:r>
        <w:rPr>
          <w:rFonts w:ascii="Times New Roman" w:hAnsi="Times New Roman" w:cs="Times New Roman"/>
          <w:bCs/>
          <w:sz w:val="24"/>
          <w:szCs w:val="24"/>
        </w:rPr>
        <w:t>is because BON PH2 units have a generator limit that restricts turbine output at higher</w:t>
      </w:r>
      <w:r w:rsidR="00CC7D17">
        <w:rPr>
          <w:rFonts w:ascii="Times New Roman" w:hAnsi="Times New Roman" w:cs="Times New Roman"/>
          <w:bCs/>
          <w:sz w:val="24"/>
          <w:szCs w:val="24"/>
        </w:rPr>
        <w:t xml:space="preserve"> project</w:t>
      </w:r>
      <w:r>
        <w:rPr>
          <w:rFonts w:ascii="Times New Roman" w:hAnsi="Times New Roman" w:cs="Times New Roman"/>
          <w:bCs/>
          <w:sz w:val="24"/>
          <w:szCs w:val="24"/>
        </w:rPr>
        <w:t xml:space="preserve"> heads. These values are represented in </w:t>
      </w:r>
      <w:r w:rsidR="00C63CCB">
        <w:rPr>
          <w:rFonts w:ascii="Times New Roman" w:hAnsi="Times New Roman" w:cs="Times New Roman"/>
          <w:bCs/>
          <w:sz w:val="24"/>
          <w:szCs w:val="24"/>
        </w:rPr>
        <w:t xml:space="preserve">FPP </w:t>
      </w:r>
      <w:r>
        <w:rPr>
          <w:rFonts w:ascii="Times New Roman" w:hAnsi="Times New Roman" w:cs="Times New Roman"/>
          <w:bCs/>
          <w:sz w:val="24"/>
          <w:szCs w:val="24"/>
        </w:rPr>
        <w:t>Table BON-15</w:t>
      </w:r>
      <w:r w:rsidR="000F6A36">
        <w:rPr>
          <w:rFonts w:ascii="Times New Roman" w:hAnsi="Times New Roman" w:cs="Times New Roman"/>
          <w:bCs/>
          <w:sz w:val="24"/>
          <w:szCs w:val="24"/>
        </w:rPr>
        <w:t>.</w:t>
      </w:r>
    </w:p>
    <w:p w14:paraId="6510D436" w14:textId="77777777" w:rsidR="00A5263D" w:rsidRDefault="00A5263D" w:rsidP="002E6532">
      <w:pPr>
        <w:pStyle w:val="PlainText"/>
        <w:ind w:left="720"/>
        <w:rPr>
          <w:rFonts w:ascii="Times New Roman" w:hAnsi="Times New Roman" w:cs="Times New Roman"/>
          <w:bCs/>
          <w:sz w:val="24"/>
          <w:szCs w:val="24"/>
        </w:rPr>
      </w:pPr>
    </w:p>
    <w:p w14:paraId="03483801" w14:textId="02606723" w:rsidR="00A5263D" w:rsidRPr="002E6532" w:rsidRDefault="00A5263D" w:rsidP="002E6532">
      <w:pPr>
        <w:pStyle w:val="PlainText"/>
        <w:ind w:left="720"/>
        <w:rPr>
          <w:rFonts w:ascii="Times New Roman" w:hAnsi="Times New Roman" w:cs="Times New Roman"/>
          <w:bCs/>
          <w:sz w:val="24"/>
          <w:szCs w:val="24"/>
        </w:rPr>
      </w:pPr>
      <w:r>
        <w:rPr>
          <w:rFonts w:ascii="Times New Roman" w:hAnsi="Times New Roman" w:cs="Times New Roman"/>
          <w:bCs/>
          <w:sz w:val="24"/>
          <w:szCs w:val="24"/>
        </w:rPr>
        <w:lastRenderedPageBreak/>
        <w:t>No impacts on tailwater operation.</w:t>
      </w:r>
    </w:p>
    <w:p w14:paraId="66291B64" w14:textId="77777777" w:rsidR="00A5263D" w:rsidRDefault="00A5263D" w:rsidP="0099716B">
      <w:pPr>
        <w:pStyle w:val="PlainText"/>
        <w:rPr>
          <w:rFonts w:ascii="Times New Roman" w:hAnsi="Times New Roman" w:cs="Times New Roman"/>
          <w:b/>
          <w:sz w:val="24"/>
          <w:szCs w:val="24"/>
        </w:rPr>
      </w:pPr>
    </w:p>
    <w:p w14:paraId="43C8A49E" w14:textId="1F8CA6DF" w:rsidR="0099716B" w:rsidRDefault="0099716B" w:rsidP="00243D4D">
      <w:pPr>
        <w:pStyle w:val="PlainText"/>
        <w:ind w:firstLine="720"/>
        <w:rPr>
          <w:rFonts w:ascii="Times New Roman" w:hAnsi="Times New Roman" w:cs="Times New Roman"/>
          <w:b/>
          <w:sz w:val="24"/>
          <w:szCs w:val="24"/>
        </w:rPr>
      </w:pPr>
      <w:r>
        <w:rPr>
          <w:rFonts w:ascii="Times New Roman" w:hAnsi="Times New Roman" w:cs="Times New Roman"/>
          <w:b/>
          <w:sz w:val="24"/>
          <w:szCs w:val="24"/>
        </w:rPr>
        <w:t>Impact on spill</w:t>
      </w:r>
      <w:r w:rsidR="00B638B9">
        <w:rPr>
          <w:rFonts w:ascii="Times New Roman" w:hAnsi="Times New Roman" w:cs="Times New Roman"/>
          <w:b/>
          <w:sz w:val="24"/>
          <w:szCs w:val="24"/>
        </w:rPr>
        <w:t xml:space="preserve"> </w:t>
      </w:r>
    </w:p>
    <w:p w14:paraId="673ABBCB" w14:textId="77777777" w:rsidR="00707EF5" w:rsidRDefault="00707EF5" w:rsidP="00243D4D">
      <w:pPr>
        <w:pStyle w:val="PlainText"/>
        <w:ind w:firstLine="720"/>
        <w:rPr>
          <w:rFonts w:ascii="Times New Roman" w:hAnsi="Times New Roman" w:cs="Times New Roman"/>
          <w:b/>
          <w:sz w:val="24"/>
          <w:szCs w:val="24"/>
        </w:rPr>
      </w:pPr>
    </w:p>
    <w:p w14:paraId="339A046F" w14:textId="58B12B53" w:rsidR="00707EF5" w:rsidRPr="0056203F" w:rsidRDefault="00707EF5" w:rsidP="00342A20">
      <w:pPr>
        <w:pStyle w:val="PlainText"/>
        <w:ind w:left="720"/>
        <w:jc w:val="both"/>
        <w:rPr>
          <w:rFonts w:ascii="Times New Roman" w:hAnsi="Times New Roman" w:cs="Times New Roman"/>
          <w:sz w:val="24"/>
          <w:szCs w:val="24"/>
        </w:rPr>
      </w:pPr>
      <w:r>
        <w:rPr>
          <w:rFonts w:ascii="Times New Roman" w:hAnsi="Times New Roman" w:cs="Times New Roman"/>
          <w:bCs/>
          <w:sz w:val="24"/>
          <w:szCs w:val="24"/>
        </w:rPr>
        <w:t xml:space="preserve">PH 2 units under the test schedule operation blocks of middle and upper 1% peak efficiency range may be out of criteria as defined in FPP Section 4.2.1.2.b / </w:t>
      </w:r>
      <w:r w:rsidRPr="00707EF5">
        <w:rPr>
          <w:rFonts w:ascii="Times New Roman" w:hAnsi="Times New Roman" w:cs="Times New Roman"/>
          <w:sz w:val="24"/>
          <w:szCs w:val="24"/>
        </w:rPr>
        <w:t>Table BON-14 Sequential Steps to Pass Increasing Flow per Temporary PH2 Operating</w:t>
      </w:r>
      <w:r>
        <w:rPr>
          <w:rFonts w:ascii="Times New Roman" w:hAnsi="Times New Roman" w:cs="Times New Roman"/>
          <w:sz w:val="24"/>
          <w:szCs w:val="24"/>
        </w:rPr>
        <w:t xml:space="preserve"> </w:t>
      </w:r>
      <w:r w:rsidRPr="00707EF5">
        <w:rPr>
          <w:rFonts w:ascii="Times New Roman" w:hAnsi="Times New Roman" w:cs="Times New Roman"/>
          <w:sz w:val="24"/>
          <w:szCs w:val="24"/>
        </w:rPr>
        <w:t>Range Guidelines in section 4.2.1.2.b.</w:t>
      </w:r>
      <w:r w:rsidR="0056203F">
        <w:rPr>
          <w:rFonts w:ascii="Times New Roman" w:hAnsi="Times New Roman" w:cs="Times New Roman"/>
          <w:sz w:val="24"/>
          <w:szCs w:val="24"/>
        </w:rPr>
        <w:t xml:space="preserve"> Refer to </w:t>
      </w:r>
      <w:r w:rsidR="0056203F" w:rsidRPr="0056203F">
        <w:rPr>
          <w:rFonts w:ascii="Times New Roman" w:hAnsi="Times New Roman" w:cs="Times New Roman"/>
          <w:b/>
          <w:bCs/>
          <w:sz w:val="24"/>
          <w:szCs w:val="24"/>
        </w:rPr>
        <w:t>Table 1</w:t>
      </w:r>
      <w:r w:rsidR="0056203F">
        <w:rPr>
          <w:rFonts w:ascii="Times New Roman" w:hAnsi="Times New Roman" w:cs="Times New Roman"/>
          <w:b/>
          <w:bCs/>
          <w:sz w:val="24"/>
          <w:szCs w:val="24"/>
        </w:rPr>
        <w:t xml:space="preserve"> </w:t>
      </w:r>
      <w:r w:rsidR="0056203F">
        <w:rPr>
          <w:rFonts w:ascii="Times New Roman" w:hAnsi="Times New Roman" w:cs="Times New Roman"/>
          <w:sz w:val="24"/>
          <w:szCs w:val="24"/>
        </w:rPr>
        <w:t>for potential impacts on spill during B2FGE testing.</w:t>
      </w:r>
    </w:p>
    <w:p w14:paraId="7E07DCB5" w14:textId="77777777" w:rsidR="0056203F" w:rsidRDefault="0056203F" w:rsidP="00707EF5">
      <w:pPr>
        <w:pStyle w:val="PlainText"/>
        <w:ind w:left="720"/>
        <w:rPr>
          <w:rFonts w:ascii="Times New Roman" w:hAnsi="Times New Roman" w:cs="Times New Roman"/>
          <w:sz w:val="24"/>
          <w:szCs w:val="24"/>
        </w:rPr>
      </w:pPr>
    </w:p>
    <w:p w14:paraId="72813C81" w14:textId="2A30602D" w:rsidR="00211711" w:rsidRPr="0056203F" w:rsidRDefault="0056203F" w:rsidP="00707EF5">
      <w:pPr>
        <w:pStyle w:val="PlainText"/>
        <w:ind w:left="720"/>
        <w:rPr>
          <w:rFonts w:ascii="Times New Roman" w:hAnsi="Times New Roman" w:cs="Times New Roman"/>
          <w:sz w:val="24"/>
          <w:szCs w:val="24"/>
        </w:rPr>
      </w:pPr>
      <w:r>
        <w:rPr>
          <w:rFonts w:ascii="Times New Roman" w:hAnsi="Times New Roman" w:cs="Times New Roman"/>
          <w:b/>
          <w:bCs/>
          <w:sz w:val="24"/>
          <w:szCs w:val="24"/>
        </w:rPr>
        <w:t>Table 1. Potential Impacts on Spill</w:t>
      </w:r>
      <w:r w:rsidRPr="0056203F">
        <w:rPr>
          <w:rFonts w:ascii="Times New Roman" w:hAnsi="Times New Roman" w:cs="Times New Roman"/>
          <w:b/>
          <w:bCs/>
          <w:sz w:val="24"/>
          <w:szCs w:val="24"/>
        </w:rPr>
        <w:t xml:space="preserve"> </w:t>
      </w:r>
      <w:r>
        <w:rPr>
          <w:rFonts w:ascii="Times New Roman" w:hAnsi="Times New Roman" w:cs="Times New Roman"/>
          <w:b/>
          <w:bCs/>
          <w:sz w:val="24"/>
          <w:szCs w:val="24"/>
        </w:rPr>
        <w:t>during B2FGE Test Periods</w:t>
      </w:r>
    </w:p>
    <w:tbl>
      <w:tblPr>
        <w:tblStyle w:val="TableGrid"/>
        <w:tblW w:w="5003" w:type="pct"/>
        <w:jc w:val="center"/>
        <w:tblLook w:val="04A0" w:firstRow="1" w:lastRow="0" w:firstColumn="1" w:lastColumn="0" w:noHBand="0" w:noVBand="1"/>
      </w:tblPr>
      <w:tblGrid>
        <w:gridCol w:w="1830"/>
        <w:gridCol w:w="1504"/>
        <w:gridCol w:w="1939"/>
        <w:gridCol w:w="2150"/>
        <w:gridCol w:w="1933"/>
      </w:tblGrid>
      <w:tr w:rsidR="00211711" w:rsidRPr="00211711" w14:paraId="75A1B346" w14:textId="77777777" w:rsidTr="00211711">
        <w:trPr>
          <w:trHeight w:hRule="exact" w:val="576"/>
          <w:jc w:val="center"/>
        </w:trPr>
        <w:tc>
          <w:tcPr>
            <w:tcW w:w="978" w:type="pct"/>
            <w:vAlign w:val="center"/>
          </w:tcPr>
          <w:p w14:paraId="6C5D818E" w14:textId="1166C80A" w:rsidR="00211711" w:rsidRPr="00211711" w:rsidRDefault="00211711" w:rsidP="00F92B56">
            <w:pPr>
              <w:jc w:val="center"/>
              <w:rPr>
                <w:b/>
                <w:bCs/>
                <w:sz w:val="20"/>
                <w:szCs w:val="20"/>
              </w:rPr>
            </w:pPr>
            <w:r w:rsidRPr="00211711">
              <w:rPr>
                <w:b/>
                <w:bCs/>
                <w:sz w:val="20"/>
                <w:szCs w:val="20"/>
              </w:rPr>
              <w:t>Total Q (</w:t>
            </w:r>
            <w:proofErr w:type="spellStart"/>
            <w:r w:rsidRPr="00211711">
              <w:rPr>
                <w:b/>
                <w:bCs/>
                <w:sz w:val="20"/>
                <w:szCs w:val="20"/>
              </w:rPr>
              <w:t>kcfs</w:t>
            </w:r>
            <w:proofErr w:type="spellEnd"/>
            <w:r w:rsidRPr="00211711">
              <w:rPr>
                <w:b/>
                <w:bCs/>
                <w:sz w:val="20"/>
                <w:szCs w:val="20"/>
              </w:rPr>
              <w:t>)</w:t>
            </w:r>
            <w:r>
              <w:rPr>
                <w:b/>
                <w:bCs/>
                <w:sz w:val="20"/>
                <w:szCs w:val="20"/>
              </w:rPr>
              <w:t xml:space="preserve"> *</w:t>
            </w:r>
          </w:p>
        </w:tc>
        <w:tc>
          <w:tcPr>
            <w:tcW w:w="804" w:type="pct"/>
            <w:vAlign w:val="center"/>
          </w:tcPr>
          <w:p w14:paraId="5A40064B" w14:textId="77777777" w:rsidR="00211711" w:rsidRPr="00211711" w:rsidRDefault="00211711" w:rsidP="00F92B56">
            <w:pPr>
              <w:jc w:val="center"/>
              <w:rPr>
                <w:b/>
                <w:bCs/>
                <w:sz w:val="20"/>
                <w:szCs w:val="20"/>
              </w:rPr>
            </w:pPr>
            <w:r w:rsidRPr="00211711">
              <w:rPr>
                <w:b/>
                <w:bCs/>
                <w:sz w:val="20"/>
                <w:szCs w:val="20"/>
              </w:rPr>
              <w:t>FPP PH2 Operation</w:t>
            </w:r>
          </w:p>
        </w:tc>
        <w:tc>
          <w:tcPr>
            <w:tcW w:w="1036" w:type="pct"/>
            <w:vAlign w:val="center"/>
          </w:tcPr>
          <w:p w14:paraId="653E3FB0" w14:textId="77777777" w:rsidR="00211711" w:rsidRPr="00211711" w:rsidRDefault="00211711" w:rsidP="00F92B56">
            <w:pPr>
              <w:jc w:val="center"/>
              <w:rPr>
                <w:b/>
                <w:bCs/>
                <w:sz w:val="20"/>
                <w:szCs w:val="20"/>
              </w:rPr>
            </w:pPr>
            <w:r w:rsidRPr="00211711">
              <w:rPr>
                <w:b/>
                <w:bCs/>
                <w:sz w:val="20"/>
                <w:szCs w:val="20"/>
              </w:rPr>
              <w:t xml:space="preserve">FPP/FOP Spill </w:t>
            </w:r>
          </w:p>
          <w:p w14:paraId="201E37FA" w14:textId="77777777" w:rsidR="00211711" w:rsidRPr="00211711" w:rsidRDefault="00211711" w:rsidP="00F92B56">
            <w:pPr>
              <w:jc w:val="center"/>
              <w:rPr>
                <w:b/>
                <w:bCs/>
                <w:sz w:val="20"/>
                <w:szCs w:val="20"/>
              </w:rPr>
            </w:pPr>
            <w:r w:rsidRPr="00211711">
              <w:rPr>
                <w:b/>
                <w:bCs/>
                <w:sz w:val="20"/>
                <w:szCs w:val="20"/>
              </w:rPr>
              <w:t>Operation</w:t>
            </w:r>
          </w:p>
        </w:tc>
        <w:tc>
          <w:tcPr>
            <w:tcW w:w="1149" w:type="pct"/>
            <w:vAlign w:val="center"/>
          </w:tcPr>
          <w:p w14:paraId="583D7E6C" w14:textId="77777777" w:rsidR="00E06542" w:rsidRDefault="00211711" w:rsidP="00E06542">
            <w:pPr>
              <w:jc w:val="center"/>
              <w:rPr>
                <w:b/>
                <w:bCs/>
                <w:sz w:val="20"/>
                <w:szCs w:val="20"/>
              </w:rPr>
            </w:pPr>
            <w:r w:rsidRPr="00211711">
              <w:rPr>
                <w:b/>
                <w:bCs/>
                <w:sz w:val="20"/>
                <w:szCs w:val="20"/>
              </w:rPr>
              <w:t xml:space="preserve">Test </w:t>
            </w:r>
          </w:p>
          <w:p w14:paraId="0209366F" w14:textId="77ECF344" w:rsidR="00211711" w:rsidRPr="00211711" w:rsidRDefault="00211711" w:rsidP="00E06542">
            <w:pPr>
              <w:jc w:val="center"/>
              <w:rPr>
                <w:b/>
                <w:bCs/>
                <w:sz w:val="20"/>
                <w:szCs w:val="20"/>
              </w:rPr>
            </w:pPr>
            <w:r w:rsidRPr="00211711">
              <w:rPr>
                <w:b/>
                <w:bCs/>
                <w:sz w:val="20"/>
                <w:szCs w:val="20"/>
              </w:rPr>
              <w:t>Mid-Point</w:t>
            </w:r>
          </w:p>
        </w:tc>
        <w:tc>
          <w:tcPr>
            <w:tcW w:w="1033" w:type="pct"/>
            <w:vAlign w:val="center"/>
          </w:tcPr>
          <w:p w14:paraId="77BFA6F5" w14:textId="77777777" w:rsidR="00E06542" w:rsidRDefault="00211711" w:rsidP="00E06542">
            <w:pPr>
              <w:jc w:val="center"/>
              <w:rPr>
                <w:b/>
                <w:bCs/>
                <w:sz w:val="20"/>
                <w:szCs w:val="20"/>
              </w:rPr>
            </w:pPr>
            <w:r w:rsidRPr="00211711">
              <w:rPr>
                <w:b/>
                <w:bCs/>
                <w:sz w:val="20"/>
                <w:szCs w:val="20"/>
              </w:rPr>
              <w:t xml:space="preserve">Test </w:t>
            </w:r>
          </w:p>
          <w:p w14:paraId="00EF411D" w14:textId="2AF79945" w:rsidR="00211711" w:rsidRPr="00211711" w:rsidRDefault="00211711" w:rsidP="00E06542">
            <w:pPr>
              <w:jc w:val="center"/>
              <w:rPr>
                <w:b/>
                <w:bCs/>
                <w:sz w:val="20"/>
                <w:szCs w:val="20"/>
              </w:rPr>
            </w:pPr>
            <w:r w:rsidRPr="00211711">
              <w:rPr>
                <w:b/>
                <w:bCs/>
                <w:sz w:val="20"/>
                <w:szCs w:val="20"/>
              </w:rPr>
              <w:t>Upper 1%</w:t>
            </w:r>
          </w:p>
        </w:tc>
      </w:tr>
      <w:tr w:rsidR="00211711" w:rsidRPr="00211711" w14:paraId="5A2FBD56" w14:textId="77777777" w:rsidTr="00211711">
        <w:trPr>
          <w:cantSplit/>
          <w:trHeight w:hRule="exact" w:val="576"/>
          <w:jc w:val="center"/>
        </w:trPr>
        <w:tc>
          <w:tcPr>
            <w:tcW w:w="978" w:type="pct"/>
            <w:vAlign w:val="center"/>
          </w:tcPr>
          <w:p w14:paraId="37752DDD" w14:textId="77777777" w:rsidR="00211711" w:rsidRPr="00211711" w:rsidRDefault="00211711" w:rsidP="00F92B56">
            <w:pPr>
              <w:jc w:val="center"/>
              <w:rPr>
                <w:sz w:val="20"/>
                <w:szCs w:val="20"/>
              </w:rPr>
            </w:pPr>
            <w:r w:rsidRPr="00211711">
              <w:rPr>
                <w:sz w:val="20"/>
                <w:szCs w:val="20"/>
              </w:rPr>
              <w:t xml:space="preserve">Up to 293 </w:t>
            </w:r>
          </w:p>
        </w:tc>
        <w:tc>
          <w:tcPr>
            <w:tcW w:w="804" w:type="pct"/>
            <w:vAlign w:val="center"/>
          </w:tcPr>
          <w:p w14:paraId="256D5865" w14:textId="77777777" w:rsidR="00211711" w:rsidRPr="00211711" w:rsidRDefault="00211711" w:rsidP="00F92B56">
            <w:pPr>
              <w:jc w:val="center"/>
              <w:rPr>
                <w:sz w:val="20"/>
                <w:szCs w:val="20"/>
              </w:rPr>
            </w:pPr>
            <w:r w:rsidRPr="00211711">
              <w:rPr>
                <w:sz w:val="20"/>
                <w:szCs w:val="20"/>
              </w:rPr>
              <w:t>Mid-Point</w:t>
            </w:r>
          </w:p>
        </w:tc>
        <w:tc>
          <w:tcPr>
            <w:tcW w:w="1036" w:type="pct"/>
            <w:vAlign w:val="center"/>
          </w:tcPr>
          <w:p w14:paraId="6EE4DDC0" w14:textId="77777777" w:rsidR="00211711" w:rsidRPr="00211711" w:rsidRDefault="00211711" w:rsidP="00F92B56">
            <w:pPr>
              <w:jc w:val="center"/>
              <w:rPr>
                <w:sz w:val="20"/>
                <w:szCs w:val="20"/>
              </w:rPr>
            </w:pPr>
            <w:r w:rsidRPr="00211711">
              <w:rPr>
                <w:sz w:val="20"/>
                <w:szCs w:val="20"/>
              </w:rPr>
              <w:t>FOP (150)</w:t>
            </w:r>
          </w:p>
        </w:tc>
        <w:tc>
          <w:tcPr>
            <w:tcW w:w="1149" w:type="pct"/>
            <w:vAlign w:val="center"/>
          </w:tcPr>
          <w:p w14:paraId="5D1BFE64" w14:textId="77777777" w:rsidR="00211711" w:rsidRPr="00211711" w:rsidRDefault="00211711" w:rsidP="00F92B56">
            <w:pPr>
              <w:jc w:val="center"/>
              <w:rPr>
                <w:sz w:val="20"/>
                <w:szCs w:val="20"/>
              </w:rPr>
            </w:pPr>
            <w:r w:rsidRPr="00211711">
              <w:rPr>
                <w:sz w:val="20"/>
                <w:szCs w:val="20"/>
              </w:rPr>
              <w:t>No effect</w:t>
            </w:r>
          </w:p>
        </w:tc>
        <w:tc>
          <w:tcPr>
            <w:tcW w:w="1033" w:type="pct"/>
            <w:vAlign w:val="center"/>
          </w:tcPr>
          <w:p w14:paraId="15FB350C" w14:textId="77777777" w:rsidR="00211711" w:rsidRPr="00211711" w:rsidRDefault="00211711" w:rsidP="00F92B56">
            <w:pPr>
              <w:jc w:val="center"/>
              <w:rPr>
                <w:sz w:val="20"/>
                <w:szCs w:val="20"/>
              </w:rPr>
            </w:pPr>
            <w:r w:rsidRPr="00211711">
              <w:rPr>
                <w:sz w:val="20"/>
                <w:szCs w:val="20"/>
              </w:rPr>
              <w:t>Spill &lt; 150</w:t>
            </w:r>
          </w:p>
          <w:p w14:paraId="612EC45B" w14:textId="77777777" w:rsidR="00211711" w:rsidRPr="00211711" w:rsidRDefault="00211711" w:rsidP="00F92B56">
            <w:pPr>
              <w:jc w:val="center"/>
              <w:rPr>
                <w:sz w:val="20"/>
                <w:szCs w:val="20"/>
              </w:rPr>
            </w:pPr>
            <w:r w:rsidRPr="00211711">
              <w:rPr>
                <w:sz w:val="20"/>
                <w:szCs w:val="20"/>
              </w:rPr>
              <w:t>(-3k/unit)</w:t>
            </w:r>
          </w:p>
        </w:tc>
      </w:tr>
      <w:tr w:rsidR="00211711" w:rsidRPr="00211711" w14:paraId="51E45A6B" w14:textId="77777777" w:rsidTr="00211711">
        <w:trPr>
          <w:cantSplit/>
          <w:trHeight w:hRule="exact" w:val="576"/>
          <w:jc w:val="center"/>
        </w:trPr>
        <w:tc>
          <w:tcPr>
            <w:tcW w:w="978" w:type="pct"/>
            <w:vAlign w:val="center"/>
          </w:tcPr>
          <w:p w14:paraId="5622E94F" w14:textId="77777777" w:rsidR="00211711" w:rsidRPr="00211711" w:rsidRDefault="00211711" w:rsidP="00F92B56">
            <w:pPr>
              <w:jc w:val="center"/>
              <w:rPr>
                <w:sz w:val="20"/>
                <w:szCs w:val="20"/>
              </w:rPr>
            </w:pPr>
            <w:r w:rsidRPr="00211711">
              <w:rPr>
                <w:sz w:val="20"/>
                <w:szCs w:val="20"/>
              </w:rPr>
              <w:t>293 - 317</w:t>
            </w:r>
          </w:p>
        </w:tc>
        <w:tc>
          <w:tcPr>
            <w:tcW w:w="804" w:type="pct"/>
            <w:vAlign w:val="center"/>
          </w:tcPr>
          <w:p w14:paraId="145D61D4" w14:textId="77777777" w:rsidR="00211711" w:rsidRPr="00211711" w:rsidRDefault="00211711" w:rsidP="00F92B56">
            <w:pPr>
              <w:jc w:val="center"/>
              <w:rPr>
                <w:sz w:val="20"/>
                <w:szCs w:val="20"/>
              </w:rPr>
            </w:pPr>
            <w:r w:rsidRPr="00211711">
              <w:rPr>
                <w:sz w:val="20"/>
                <w:szCs w:val="20"/>
              </w:rPr>
              <w:t>Upper 1%</w:t>
            </w:r>
          </w:p>
        </w:tc>
        <w:tc>
          <w:tcPr>
            <w:tcW w:w="1036" w:type="pct"/>
            <w:vAlign w:val="center"/>
          </w:tcPr>
          <w:p w14:paraId="5D7ECB98" w14:textId="77777777" w:rsidR="00211711" w:rsidRPr="00211711" w:rsidRDefault="00211711" w:rsidP="00F92B56">
            <w:pPr>
              <w:jc w:val="center"/>
              <w:rPr>
                <w:sz w:val="20"/>
                <w:szCs w:val="20"/>
              </w:rPr>
            </w:pPr>
            <w:r w:rsidRPr="00211711">
              <w:rPr>
                <w:sz w:val="20"/>
                <w:szCs w:val="20"/>
              </w:rPr>
              <w:t>FOP (150)</w:t>
            </w:r>
          </w:p>
        </w:tc>
        <w:tc>
          <w:tcPr>
            <w:tcW w:w="1149" w:type="pct"/>
            <w:vAlign w:val="center"/>
          </w:tcPr>
          <w:p w14:paraId="64556E4B" w14:textId="77777777" w:rsidR="00211711" w:rsidRPr="00211711" w:rsidRDefault="00211711" w:rsidP="00F92B56">
            <w:pPr>
              <w:jc w:val="center"/>
              <w:rPr>
                <w:sz w:val="20"/>
                <w:szCs w:val="20"/>
              </w:rPr>
            </w:pPr>
            <w:r w:rsidRPr="00211711">
              <w:rPr>
                <w:sz w:val="20"/>
                <w:szCs w:val="20"/>
              </w:rPr>
              <w:t xml:space="preserve">Forced spill &gt; </w:t>
            </w:r>
            <w:proofErr w:type="gramStart"/>
            <w:r w:rsidRPr="00211711">
              <w:rPr>
                <w:sz w:val="20"/>
                <w:szCs w:val="20"/>
              </w:rPr>
              <w:t>150</w:t>
            </w:r>
            <w:proofErr w:type="gramEnd"/>
          </w:p>
          <w:p w14:paraId="3C75188D" w14:textId="77777777" w:rsidR="00211711" w:rsidRPr="00211711" w:rsidRDefault="00211711" w:rsidP="00F92B56">
            <w:pPr>
              <w:jc w:val="center"/>
              <w:rPr>
                <w:sz w:val="20"/>
                <w:szCs w:val="20"/>
              </w:rPr>
            </w:pPr>
            <w:r w:rsidRPr="00211711">
              <w:rPr>
                <w:sz w:val="20"/>
                <w:szCs w:val="20"/>
              </w:rPr>
              <w:t>(+3k/unit)</w:t>
            </w:r>
          </w:p>
        </w:tc>
        <w:tc>
          <w:tcPr>
            <w:tcW w:w="1033" w:type="pct"/>
            <w:vAlign w:val="center"/>
          </w:tcPr>
          <w:p w14:paraId="733BA2E0" w14:textId="77777777" w:rsidR="00211711" w:rsidRPr="00211711" w:rsidRDefault="00211711" w:rsidP="00F92B56">
            <w:pPr>
              <w:jc w:val="center"/>
              <w:rPr>
                <w:sz w:val="20"/>
                <w:szCs w:val="20"/>
              </w:rPr>
            </w:pPr>
            <w:r w:rsidRPr="00211711">
              <w:rPr>
                <w:sz w:val="20"/>
                <w:szCs w:val="20"/>
              </w:rPr>
              <w:t>No effect</w:t>
            </w:r>
          </w:p>
        </w:tc>
      </w:tr>
      <w:tr w:rsidR="00211711" w:rsidRPr="00211711" w14:paraId="46F116A5" w14:textId="77777777" w:rsidTr="00211711">
        <w:trPr>
          <w:cantSplit/>
          <w:trHeight w:hRule="exact" w:val="576"/>
          <w:jc w:val="center"/>
        </w:trPr>
        <w:tc>
          <w:tcPr>
            <w:tcW w:w="978" w:type="pct"/>
            <w:vAlign w:val="center"/>
          </w:tcPr>
          <w:p w14:paraId="480E4EDB" w14:textId="77777777" w:rsidR="00211711" w:rsidRPr="00211711" w:rsidRDefault="00211711" w:rsidP="00F92B56">
            <w:pPr>
              <w:jc w:val="center"/>
              <w:rPr>
                <w:sz w:val="20"/>
                <w:szCs w:val="20"/>
              </w:rPr>
            </w:pPr>
            <w:r w:rsidRPr="00211711">
              <w:rPr>
                <w:sz w:val="20"/>
                <w:szCs w:val="20"/>
              </w:rPr>
              <w:t>317 - 347</w:t>
            </w:r>
          </w:p>
        </w:tc>
        <w:tc>
          <w:tcPr>
            <w:tcW w:w="804" w:type="pct"/>
            <w:vAlign w:val="center"/>
          </w:tcPr>
          <w:p w14:paraId="67F40AD6" w14:textId="77777777" w:rsidR="00211711" w:rsidRPr="00211711" w:rsidRDefault="00211711" w:rsidP="00F92B56">
            <w:pPr>
              <w:jc w:val="center"/>
              <w:rPr>
                <w:sz w:val="20"/>
                <w:szCs w:val="20"/>
              </w:rPr>
            </w:pPr>
            <w:r w:rsidRPr="00211711">
              <w:rPr>
                <w:sz w:val="20"/>
                <w:szCs w:val="20"/>
              </w:rPr>
              <w:t>Upper 1%</w:t>
            </w:r>
          </w:p>
        </w:tc>
        <w:tc>
          <w:tcPr>
            <w:tcW w:w="1036" w:type="pct"/>
            <w:vAlign w:val="center"/>
          </w:tcPr>
          <w:p w14:paraId="1850A76F" w14:textId="77777777" w:rsidR="00211711" w:rsidRPr="00211711" w:rsidRDefault="00211711" w:rsidP="00F92B56">
            <w:pPr>
              <w:jc w:val="center"/>
              <w:rPr>
                <w:sz w:val="20"/>
                <w:szCs w:val="20"/>
              </w:rPr>
            </w:pPr>
            <w:r w:rsidRPr="00211711">
              <w:rPr>
                <w:sz w:val="20"/>
                <w:szCs w:val="20"/>
              </w:rPr>
              <w:t>Forced &gt; 150, up to 180</w:t>
            </w:r>
          </w:p>
        </w:tc>
        <w:tc>
          <w:tcPr>
            <w:tcW w:w="1149" w:type="pct"/>
            <w:vAlign w:val="center"/>
          </w:tcPr>
          <w:p w14:paraId="6934122E" w14:textId="77777777" w:rsidR="00211711" w:rsidRPr="00211711" w:rsidRDefault="00211711" w:rsidP="00F92B56">
            <w:pPr>
              <w:jc w:val="center"/>
              <w:rPr>
                <w:sz w:val="20"/>
                <w:szCs w:val="20"/>
              </w:rPr>
            </w:pPr>
            <w:r w:rsidRPr="00211711">
              <w:rPr>
                <w:sz w:val="20"/>
                <w:szCs w:val="20"/>
              </w:rPr>
              <w:t>More forced spill</w:t>
            </w:r>
          </w:p>
          <w:p w14:paraId="0DAA6C25" w14:textId="77777777" w:rsidR="00211711" w:rsidRPr="00211711" w:rsidRDefault="00211711" w:rsidP="00F92B56">
            <w:pPr>
              <w:jc w:val="center"/>
              <w:rPr>
                <w:sz w:val="20"/>
                <w:szCs w:val="20"/>
              </w:rPr>
            </w:pPr>
            <w:r w:rsidRPr="00211711">
              <w:rPr>
                <w:sz w:val="20"/>
                <w:szCs w:val="20"/>
              </w:rPr>
              <w:t>(+3k/unit)</w:t>
            </w:r>
          </w:p>
        </w:tc>
        <w:tc>
          <w:tcPr>
            <w:tcW w:w="1033" w:type="pct"/>
            <w:vAlign w:val="center"/>
          </w:tcPr>
          <w:p w14:paraId="5E037D77" w14:textId="77777777" w:rsidR="00211711" w:rsidRPr="00211711" w:rsidRDefault="00211711" w:rsidP="00F92B56">
            <w:pPr>
              <w:jc w:val="center"/>
              <w:rPr>
                <w:sz w:val="20"/>
                <w:szCs w:val="20"/>
              </w:rPr>
            </w:pPr>
            <w:r w:rsidRPr="00211711">
              <w:rPr>
                <w:sz w:val="20"/>
                <w:szCs w:val="20"/>
              </w:rPr>
              <w:t>No effect</w:t>
            </w:r>
          </w:p>
        </w:tc>
      </w:tr>
      <w:tr w:rsidR="00211711" w:rsidRPr="00211711" w14:paraId="35570996" w14:textId="77777777" w:rsidTr="00211711">
        <w:trPr>
          <w:cantSplit/>
          <w:trHeight w:hRule="exact" w:val="576"/>
          <w:jc w:val="center"/>
        </w:trPr>
        <w:tc>
          <w:tcPr>
            <w:tcW w:w="978" w:type="pct"/>
            <w:vAlign w:val="center"/>
          </w:tcPr>
          <w:p w14:paraId="2819E116" w14:textId="5D499535" w:rsidR="00211711" w:rsidRPr="00211711" w:rsidRDefault="00211711" w:rsidP="00F92B56">
            <w:pPr>
              <w:jc w:val="center"/>
              <w:rPr>
                <w:sz w:val="20"/>
                <w:szCs w:val="20"/>
              </w:rPr>
            </w:pPr>
            <w:r w:rsidRPr="00211711">
              <w:rPr>
                <w:sz w:val="20"/>
                <w:szCs w:val="20"/>
              </w:rPr>
              <w:t xml:space="preserve">Above 347 </w:t>
            </w:r>
            <w:r w:rsidR="00136535">
              <w:rPr>
                <w:sz w:val="20"/>
                <w:szCs w:val="20"/>
              </w:rPr>
              <w:t>**</w:t>
            </w:r>
          </w:p>
        </w:tc>
        <w:tc>
          <w:tcPr>
            <w:tcW w:w="804" w:type="pct"/>
            <w:vAlign w:val="center"/>
          </w:tcPr>
          <w:p w14:paraId="03DCD01A" w14:textId="7B1A04B1" w:rsidR="00211711" w:rsidRPr="00211711" w:rsidRDefault="00211711" w:rsidP="00F92B56">
            <w:pPr>
              <w:jc w:val="center"/>
              <w:rPr>
                <w:sz w:val="20"/>
                <w:szCs w:val="20"/>
              </w:rPr>
            </w:pPr>
            <w:r w:rsidRPr="00211711">
              <w:rPr>
                <w:sz w:val="20"/>
                <w:szCs w:val="20"/>
              </w:rPr>
              <w:t>Mid-Point</w:t>
            </w:r>
            <w:r w:rsidR="00136535">
              <w:rPr>
                <w:sz w:val="20"/>
                <w:szCs w:val="20"/>
              </w:rPr>
              <w:t xml:space="preserve"> **</w:t>
            </w:r>
          </w:p>
        </w:tc>
        <w:tc>
          <w:tcPr>
            <w:tcW w:w="1036" w:type="pct"/>
            <w:vAlign w:val="center"/>
          </w:tcPr>
          <w:p w14:paraId="49283762" w14:textId="4ADA9FA0" w:rsidR="00211711" w:rsidRPr="00211711" w:rsidRDefault="00211711" w:rsidP="00F92B56">
            <w:pPr>
              <w:jc w:val="center"/>
              <w:rPr>
                <w:sz w:val="20"/>
                <w:szCs w:val="20"/>
              </w:rPr>
            </w:pPr>
            <w:r w:rsidRPr="00211711">
              <w:rPr>
                <w:sz w:val="20"/>
                <w:szCs w:val="20"/>
              </w:rPr>
              <w:t>Forced &gt; 180</w:t>
            </w:r>
            <w:r w:rsidR="00136535">
              <w:rPr>
                <w:sz w:val="20"/>
                <w:szCs w:val="20"/>
              </w:rPr>
              <w:t xml:space="preserve"> **</w:t>
            </w:r>
          </w:p>
        </w:tc>
        <w:tc>
          <w:tcPr>
            <w:tcW w:w="1149" w:type="pct"/>
            <w:vAlign w:val="center"/>
          </w:tcPr>
          <w:p w14:paraId="26E17E73" w14:textId="77777777" w:rsidR="00211711" w:rsidRPr="00211711" w:rsidRDefault="00211711" w:rsidP="00F92B56">
            <w:pPr>
              <w:jc w:val="center"/>
              <w:rPr>
                <w:sz w:val="20"/>
                <w:szCs w:val="20"/>
              </w:rPr>
            </w:pPr>
            <w:r w:rsidRPr="00211711">
              <w:rPr>
                <w:sz w:val="20"/>
                <w:szCs w:val="20"/>
              </w:rPr>
              <w:t>No effect</w:t>
            </w:r>
          </w:p>
        </w:tc>
        <w:tc>
          <w:tcPr>
            <w:tcW w:w="1033" w:type="pct"/>
            <w:vAlign w:val="center"/>
          </w:tcPr>
          <w:p w14:paraId="33BCBF12" w14:textId="77777777" w:rsidR="00211711" w:rsidRPr="00211711" w:rsidRDefault="00211711" w:rsidP="00F92B56">
            <w:pPr>
              <w:jc w:val="center"/>
              <w:rPr>
                <w:sz w:val="20"/>
                <w:szCs w:val="20"/>
              </w:rPr>
            </w:pPr>
            <w:r w:rsidRPr="00211711">
              <w:rPr>
                <w:sz w:val="20"/>
                <w:szCs w:val="20"/>
              </w:rPr>
              <w:t>Less forced spill</w:t>
            </w:r>
          </w:p>
          <w:p w14:paraId="6AFADF57" w14:textId="77777777" w:rsidR="00211711" w:rsidRPr="00211711" w:rsidRDefault="00211711" w:rsidP="00F92B56">
            <w:pPr>
              <w:jc w:val="center"/>
              <w:rPr>
                <w:sz w:val="20"/>
                <w:szCs w:val="20"/>
              </w:rPr>
            </w:pPr>
            <w:r w:rsidRPr="00211711">
              <w:rPr>
                <w:sz w:val="20"/>
                <w:szCs w:val="20"/>
              </w:rPr>
              <w:t>(-3k/unit)</w:t>
            </w:r>
          </w:p>
        </w:tc>
      </w:tr>
    </w:tbl>
    <w:p w14:paraId="13061808" w14:textId="73F49036" w:rsidR="00211711" w:rsidRDefault="00211711" w:rsidP="00211711">
      <w:pPr>
        <w:pStyle w:val="PlainText"/>
        <w:rPr>
          <w:rFonts w:ascii="Times New Roman" w:hAnsi="Times New Roman" w:cs="Times New Roman"/>
        </w:rPr>
      </w:pPr>
      <w:r w:rsidRPr="00211711">
        <w:rPr>
          <w:rFonts w:ascii="Times New Roman" w:hAnsi="Times New Roman" w:cs="Times New Roman"/>
        </w:rPr>
        <w:t>* Assumes all 8 PH2 units are available</w:t>
      </w:r>
      <w:r w:rsidR="000255AC">
        <w:rPr>
          <w:rFonts w:ascii="Times New Roman" w:hAnsi="Times New Roman" w:cs="Times New Roman"/>
        </w:rPr>
        <w:t xml:space="preserve"> + </w:t>
      </w:r>
      <w:r w:rsidRPr="00211711">
        <w:rPr>
          <w:rFonts w:ascii="Times New Roman" w:hAnsi="Times New Roman" w:cs="Times New Roman"/>
        </w:rPr>
        <w:t>1 PH1 unit at BOP</w:t>
      </w:r>
      <w:r w:rsidR="000255AC">
        <w:rPr>
          <w:rFonts w:ascii="Times New Roman" w:hAnsi="Times New Roman" w:cs="Times New Roman"/>
        </w:rPr>
        <w:t xml:space="preserve"> + </w:t>
      </w:r>
      <w:r w:rsidR="00630699">
        <w:rPr>
          <w:rFonts w:ascii="Times New Roman" w:hAnsi="Times New Roman" w:cs="Times New Roman"/>
        </w:rPr>
        <w:t xml:space="preserve">12 </w:t>
      </w:r>
      <w:proofErr w:type="spellStart"/>
      <w:r w:rsidR="00630699">
        <w:rPr>
          <w:rFonts w:ascii="Times New Roman" w:hAnsi="Times New Roman" w:cs="Times New Roman"/>
        </w:rPr>
        <w:t>kcfs</w:t>
      </w:r>
      <w:proofErr w:type="spellEnd"/>
      <w:r w:rsidR="00630699">
        <w:rPr>
          <w:rFonts w:ascii="Times New Roman" w:hAnsi="Times New Roman" w:cs="Times New Roman"/>
        </w:rPr>
        <w:t xml:space="preserve"> </w:t>
      </w:r>
      <w:proofErr w:type="spellStart"/>
      <w:r w:rsidR="00630699">
        <w:rPr>
          <w:rFonts w:ascii="Times New Roman" w:hAnsi="Times New Roman" w:cs="Times New Roman"/>
        </w:rPr>
        <w:t>misc</w:t>
      </w:r>
      <w:proofErr w:type="spellEnd"/>
      <w:r w:rsidR="00630699">
        <w:rPr>
          <w:rFonts w:ascii="Times New Roman" w:hAnsi="Times New Roman" w:cs="Times New Roman"/>
        </w:rPr>
        <w:t xml:space="preserve"> flow (B2CC, ladders, </w:t>
      </w:r>
      <w:proofErr w:type="spellStart"/>
      <w:r w:rsidR="00630699">
        <w:rPr>
          <w:rFonts w:ascii="Times New Roman" w:hAnsi="Times New Roman" w:cs="Times New Roman"/>
        </w:rPr>
        <w:t>etc</w:t>
      </w:r>
      <w:proofErr w:type="spellEnd"/>
      <w:r w:rsidR="00630699">
        <w:rPr>
          <w:rFonts w:ascii="Times New Roman" w:hAnsi="Times New Roman" w:cs="Times New Roman"/>
        </w:rPr>
        <w:t>)</w:t>
      </w:r>
      <w:r w:rsidRPr="00211711">
        <w:rPr>
          <w:rFonts w:ascii="Times New Roman" w:hAnsi="Times New Roman" w:cs="Times New Roman"/>
        </w:rPr>
        <w:t>.</w:t>
      </w:r>
    </w:p>
    <w:p w14:paraId="3B7FAE88" w14:textId="0EB935F8" w:rsidR="00136535" w:rsidRPr="00211711" w:rsidRDefault="00136535" w:rsidP="00211711">
      <w:pPr>
        <w:pStyle w:val="PlainText"/>
        <w:rPr>
          <w:rFonts w:ascii="Times New Roman" w:hAnsi="Times New Roman" w:cs="Times New Roman"/>
        </w:rPr>
      </w:pPr>
      <w:r>
        <w:rPr>
          <w:rFonts w:ascii="Times New Roman" w:hAnsi="Times New Roman" w:cs="Times New Roman"/>
        </w:rPr>
        <w:t xml:space="preserve">** Only applies during the “juvenile trigger”. </w:t>
      </w:r>
      <w:r w:rsidR="000255AC">
        <w:rPr>
          <w:rFonts w:ascii="Times New Roman" w:hAnsi="Times New Roman" w:cs="Times New Roman"/>
        </w:rPr>
        <w:t xml:space="preserve"> </w:t>
      </w:r>
      <w:r>
        <w:rPr>
          <w:rFonts w:ascii="Times New Roman" w:hAnsi="Times New Roman" w:cs="Times New Roman"/>
        </w:rPr>
        <w:t xml:space="preserve">If the “adult trigger” is in effect, all flow above 317k will be additional forced spill. </w:t>
      </w:r>
    </w:p>
    <w:p w14:paraId="237AFBF0" w14:textId="77777777" w:rsidR="00136535" w:rsidRDefault="00136535" w:rsidP="00B43BDE">
      <w:pPr>
        <w:pStyle w:val="PlainText"/>
        <w:rPr>
          <w:rFonts w:ascii="Times New Roman" w:hAnsi="Times New Roman" w:cs="Times New Roman"/>
          <w:b/>
          <w:sz w:val="24"/>
          <w:szCs w:val="24"/>
        </w:rPr>
      </w:pPr>
    </w:p>
    <w:p w14:paraId="5F6007BD" w14:textId="77777777" w:rsidR="00136535" w:rsidRPr="000E317F" w:rsidRDefault="00136535" w:rsidP="00B43BDE">
      <w:pPr>
        <w:pStyle w:val="PlainText"/>
        <w:rPr>
          <w:rFonts w:ascii="Times New Roman" w:hAnsi="Times New Roman" w:cs="Times New Roman"/>
          <w:b/>
          <w:sz w:val="24"/>
          <w:szCs w:val="24"/>
        </w:rPr>
      </w:pPr>
    </w:p>
    <w:p w14:paraId="1B4C2A74" w14:textId="71DD5202" w:rsidR="00650AFF" w:rsidRPr="00B638B9" w:rsidRDefault="00650AFF" w:rsidP="00B43BDE">
      <w:pPr>
        <w:pStyle w:val="PlainText"/>
      </w:pPr>
      <w:r>
        <w:rPr>
          <w:rFonts w:ascii="Times New Roman" w:hAnsi="Times New Roman" w:cs="Times New Roman"/>
          <w:b/>
          <w:sz w:val="24"/>
          <w:szCs w:val="24"/>
        </w:rPr>
        <w:t>Dates of impacts/repairs</w:t>
      </w:r>
    </w:p>
    <w:p w14:paraId="54055A76" w14:textId="5660912E" w:rsidR="00650AFF" w:rsidRPr="00AC75A9" w:rsidRDefault="00AC75A9" w:rsidP="00B43BDE">
      <w:pPr>
        <w:pStyle w:val="PlainText"/>
        <w:rPr>
          <w:rFonts w:ascii="Times New Roman" w:hAnsi="Times New Roman" w:cs="Times New Roman"/>
          <w:bCs/>
          <w:sz w:val="24"/>
          <w:szCs w:val="24"/>
        </w:rPr>
      </w:pPr>
      <w:r w:rsidRPr="005D1A60">
        <w:rPr>
          <w:rFonts w:ascii="Times New Roman" w:hAnsi="Times New Roman" w:cs="Times New Roman"/>
          <w:bCs/>
          <w:sz w:val="24"/>
          <w:szCs w:val="24"/>
        </w:rPr>
        <w:t xml:space="preserve">Spring: 20 April – </w:t>
      </w:r>
      <w:r w:rsidR="005D1A60" w:rsidRPr="005D1A60">
        <w:rPr>
          <w:rFonts w:ascii="Times New Roman" w:hAnsi="Times New Roman" w:cs="Times New Roman"/>
          <w:bCs/>
          <w:sz w:val="24"/>
          <w:szCs w:val="24"/>
        </w:rPr>
        <w:t>June 05</w:t>
      </w:r>
      <w:r w:rsidR="00CC0396" w:rsidRPr="005D1A60">
        <w:rPr>
          <w:rFonts w:ascii="Times New Roman" w:hAnsi="Times New Roman" w:cs="Times New Roman"/>
          <w:bCs/>
          <w:sz w:val="24"/>
          <w:szCs w:val="24"/>
        </w:rPr>
        <w:t>,</w:t>
      </w:r>
      <w:r w:rsidRPr="005D1A60">
        <w:rPr>
          <w:rFonts w:ascii="Times New Roman" w:hAnsi="Times New Roman" w:cs="Times New Roman"/>
          <w:bCs/>
          <w:sz w:val="24"/>
          <w:szCs w:val="24"/>
        </w:rPr>
        <w:t xml:space="preserve"> and Summer: </w:t>
      </w:r>
      <w:r w:rsidR="005D1A60" w:rsidRPr="005D1A60">
        <w:rPr>
          <w:rFonts w:ascii="Times New Roman" w:hAnsi="Times New Roman" w:cs="Times New Roman"/>
          <w:bCs/>
          <w:sz w:val="24"/>
          <w:szCs w:val="24"/>
        </w:rPr>
        <w:t>08</w:t>
      </w:r>
      <w:r w:rsidRPr="005D1A60">
        <w:rPr>
          <w:rFonts w:ascii="Times New Roman" w:hAnsi="Times New Roman" w:cs="Times New Roman"/>
          <w:bCs/>
          <w:sz w:val="24"/>
          <w:szCs w:val="24"/>
        </w:rPr>
        <w:t xml:space="preserve"> June – </w:t>
      </w:r>
      <w:r w:rsidR="00CC0396" w:rsidRPr="005D1A60">
        <w:rPr>
          <w:rFonts w:ascii="Times New Roman" w:hAnsi="Times New Roman" w:cs="Times New Roman"/>
          <w:bCs/>
          <w:sz w:val="24"/>
          <w:szCs w:val="24"/>
        </w:rPr>
        <w:t>20</w:t>
      </w:r>
      <w:r w:rsidRPr="005D1A60">
        <w:rPr>
          <w:rFonts w:ascii="Times New Roman" w:hAnsi="Times New Roman" w:cs="Times New Roman"/>
          <w:bCs/>
          <w:sz w:val="24"/>
          <w:szCs w:val="24"/>
        </w:rPr>
        <w:t xml:space="preserve"> July 2024</w:t>
      </w:r>
      <w:r w:rsidR="00CC0396">
        <w:rPr>
          <w:rFonts w:ascii="Times New Roman" w:hAnsi="Times New Roman" w:cs="Times New Roman"/>
          <w:bCs/>
          <w:sz w:val="24"/>
          <w:szCs w:val="24"/>
        </w:rPr>
        <w:t>.</w:t>
      </w:r>
    </w:p>
    <w:p w14:paraId="736FF48E" w14:textId="77777777" w:rsidR="00CC0396" w:rsidRDefault="00CC0396" w:rsidP="00B43BDE">
      <w:pPr>
        <w:pStyle w:val="PlainText"/>
        <w:rPr>
          <w:rFonts w:ascii="Times New Roman" w:hAnsi="Times New Roman" w:cs="Times New Roman"/>
          <w:b/>
          <w:sz w:val="24"/>
          <w:szCs w:val="24"/>
        </w:rPr>
      </w:pPr>
    </w:p>
    <w:p w14:paraId="130BB5C7" w14:textId="3D6C0105" w:rsidR="00650248"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p>
    <w:p w14:paraId="220439F5" w14:textId="7E0FCBD8" w:rsidR="00AC75A9" w:rsidRPr="00AC75A9" w:rsidRDefault="00AC75A9" w:rsidP="00B43BDE">
      <w:pPr>
        <w:pStyle w:val="PlainText"/>
        <w:rPr>
          <w:rFonts w:ascii="Times New Roman" w:hAnsi="Times New Roman" w:cs="Times New Roman"/>
          <w:bCs/>
          <w:sz w:val="24"/>
          <w:szCs w:val="24"/>
        </w:rPr>
      </w:pPr>
      <w:r>
        <w:rPr>
          <w:rFonts w:ascii="Times New Roman" w:hAnsi="Times New Roman" w:cs="Times New Roman"/>
          <w:bCs/>
          <w:sz w:val="24"/>
          <w:szCs w:val="24"/>
        </w:rPr>
        <w:t xml:space="preserve">A detailed operation schedule with </w:t>
      </w:r>
      <w:r w:rsidR="00D04B0A">
        <w:rPr>
          <w:rFonts w:ascii="Times New Roman" w:hAnsi="Times New Roman" w:cs="Times New Roman"/>
          <w:bCs/>
          <w:sz w:val="24"/>
          <w:szCs w:val="24"/>
        </w:rPr>
        <w:t xml:space="preserve">middle and upper </w:t>
      </w:r>
      <w:r>
        <w:rPr>
          <w:rFonts w:ascii="Times New Roman" w:hAnsi="Times New Roman" w:cs="Times New Roman"/>
          <w:bCs/>
          <w:sz w:val="24"/>
          <w:szCs w:val="24"/>
        </w:rPr>
        <w:t>1% flow ranges defined at specific times and dates will be provided to Bonneville Dam Operations and an RCC teletype will be issued.</w:t>
      </w:r>
    </w:p>
    <w:p w14:paraId="617BA9FD" w14:textId="77777777" w:rsidR="00CC0396" w:rsidRDefault="00CC0396" w:rsidP="00B43BDE">
      <w:pPr>
        <w:pStyle w:val="PlainText"/>
        <w:rPr>
          <w:rFonts w:ascii="Times New Roman" w:hAnsi="Times New Roman" w:cs="Times New Roman"/>
          <w:b/>
          <w:sz w:val="24"/>
          <w:szCs w:val="24"/>
        </w:rPr>
      </w:pPr>
    </w:p>
    <w:p w14:paraId="43494977" w14:textId="2905E053" w:rsidR="00F842FF"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Analysis of potential impacts to fish</w:t>
      </w:r>
    </w:p>
    <w:p w14:paraId="6D944094" w14:textId="77777777" w:rsidR="00F842FF" w:rsidRDefault="00F842FF" w:rsidP="00B43BDE">
      <w:pPr>
        <w:pStyle w:val="PlainText"/>
        <w:rPr>
          <w:rFonts w:ascii="Times New Roman" w:hAnsi="Times New Roman" w:cs="Times New Roman"/>
          <w:b/>
          <w:sz w:val="24"/>
          <w:szCs w:val="24"/>
        </w:rPr>
      </w:pPr>
    </w:p>
    <w:p w14:paraId="6B7E729C" w14:textId="77777777" w:rsidR="00F842FF" w:rsidRPr="00867ADC" w:rsidRDefault="00F842FF" w:rsidP="00243D4D">
      <w:pPr>
        <w:pStyle w:val="FPP4"/>
        <w:numPr>
          <w:ilvl w:val="0"/>
          <w:numId w:val="3"/>
        </w:numPr>
        <w:spacing w:after="120"/>
        <w:rPr>
          <w:b/>
          <w:bCs/>
        </w:rPr>
      </w:pPr>
      <w:r w:rsidRPr="00867ADC">
        <w:rPr>
          <w:b/>
          <w:bCs/>
        </w:rPr>
        <w:t xml:space="preserve">10-year average passage by run during the period of impact for adults and juvenile listed species, as appropriate for the proposed action and time of </w:t>
      </w:r>
      <w:proofErr w:type="gramStart"/>
      <w:r w:rsidRPr="00867ADC">
        <w:rPr>
          <w:b/>
          <w:bCs/>
        </w:rPr>
        <w:t>year;</w:t>
      </w:r>
      <w:proofErr w:type="gramEnd"/>
    </w:p>
    <w:p w14:paraId="55389A42" w14:textId="722C1606" w:rsidR="00FB3CFE" w:rsidRDefault="00FB3CFE" w:rsidP="00342A20">
      <w:pPr>
        <w:pStyle w:val="FPP4"/>
        <w:spacing w:after="120"/>
        <w:ind w:left="0"/>
      </w:pPr>
      <w:r>
        <w:rPr>
          <w:noProof/>
        </w:rPr>
        <w:lastRenderedPageBreak/>
        <w:drawing>
          <wp:inline distT="0" distB="0" distL="0" distR="0" wp14:anchorId="2055E2D0" wp14:editId="58E3739E">
            <wp:extent cx="5191125" cy="3335215"/>
            <wp:effectExtent l="0" t="0" r="9525" b="17780"/>
            <wp:docPr id="1" name="Chart 1">
              <a:extLst xmlns:a="http://schemas.openxmlformats.org/drawingml/2006/main">
                <a:ext uri="{FF2B5EF4-FFF2-40B4-BE49-F238E27FC236}">
                  <a16:creationId xmlns:a16="http://schemas.microsoft.com/office/drawing/2014/main" id="{C6E8FDE7-730D-8879-AEF5-A7F774AE5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CB7B001" w14:textId="44AABFD7" w:rsidR="000156B2" w:rsidRDefault="000156B2" w:rsidP="00F43A29">
      <w:pPr>
        <w:pStyle w:val="FPP4"/>
        <w:spacing w:after="120"/>
        <w:ind w:left="0"/>
      </w:pPr>
      <w:r>
        <w:t xml:space="preserve">Figure 1. 10-year average (2014-2023) adult fish passage counts during the period of impact at Bonneville Lock &amp; Dam for the B2FGE post-construction evaluation occurring between </w:t>
      </w:r>
      <w:r w:rsidRPr="00BF15D9">
        <w:t>April 20 – July 20</w:t>
      </w:r>
      <w:r w:rsidRPr="00BF15D9">
        <w:rPr>
          <w:vertAlign w:val="superscript"/>
        </w:rPr>
        <w:t>th</w:t>
      </w:r>
      <w:r w:rsidRPr="00BF15D9">
        <w:t>.</w:t>
      </w:r>
      <w:r w:rsidR="00A617EC">
        <w:t xml:space="preserve"> Data obtained from Columbia River DART.</w:t>
      </w:r>
    </w:p>
    <w:p w14:paraId="70220650" w14:textId="64590B7E" w:rsidR="00993A1B" w:rsidRDefault="00F13728" w:rsidP="00993A1B">
      <w:pPr>
        <w:pStyle w:val="FPP4"/>
        <w:spacing w:after="120"/>
        <w:ind w:left="0" w:right="14685"/>
      </w:pPr>
      <w:r>
        <w:rPr>
          <w:noProof/>
        </w:rPr>
        <w:drawing>
          <wp:inline distT="0" distB="0" distL="0" distR="0" wp14:anchorId="264011A1" wp14:editId="53C2CBDC">
            <wp:extent cx="5191125" cy="3257550"/>
            <wp:effectExtent l="0" t="0" r="9525" b="0"/>
            <wp:docPr id="2" name="Chart 2">
              <a:extLst xmlns:a="http://schemas.openxmlformats.org/drawingml/2006/main">
                <a:ext uri="{FF2B5EF4-FFF2-40B4-BE49-F238E27FC236}">
                  <a16:creationId xmlns:a16="http://schemas.microsoft.com/office/drawing/2014/main" id="{6CF4DC95-09F7-2AA9-82CF-7094235BC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690D4B" w14:textId="2438A9C4" w:rsidR="00F13728" w:rsidRDefault="00F13728" w:rsidP="00F43A29">
      <w:pPr>
        <w:pStyle w:val="FPP4"/>
        <w:spacing w:after="120"/>
        <w:ind w:left="0"/>
      </w:pPr>
      <w:r>
        <w:t xml:space="preserve">Figure 2. 10-year average (2014-2023) </w:t>
      </w:r>
      <w:r w:rsidR="00781813">
        <w:t xml:space="preserve">cumulative </w:t>
      </w:r>
      <w:r>
        <w:t xml:space="preserve">juvenile fish passage index for yearling Chinook (CH1), </w:t>
      </w:r>
      <w:proofErr w:type="spellStart"/>
      <w:r>
        <w:t>subyearling</w:t>
      </w:r>
      <w:proofErr w:type="spellEnd"/>
      <w:r>
        <w:t xml:space="preserve"> Chinook (CH0), and Steelhead at Bonneville Lock &amp; Dam from the Smolt Monitoring Program. Data obtained from Fish Passage Center.</w:t>
      </w:r>
    </w:p>
    <w:p w14:paraId="25B2FC6B" w14:textId="77777777" w:rsidR="00E24F04" w:rsidRDefault="00E24F04" w:rsidP="00F43A29">
      <w:pPr>
        <w:pStyle w:val="FPP4"/>
        <w:spacing w:after="120"/>
        <w:ind w:left="0"/>
      </w:pPr>
    </w:p>
    <w:p w14:paraId="6CFFCCD2" w14:textId="77777777" w:rsidR="00F842FF" w:rsidRPr="00867ADC" w:rsidRDefault="00F842FF" w:rsidP="00243D4D">
      <w:pPr>
        <w:pStyle w:val="FPP4"/>
        <w:numPr>
          <w:ilvl w:val="0"/>
          <w:numId w:val="3"/>
        </w:numPr>
        <w:spacing w:after="120"/>
        <w:rPr>
          <w:b/>
          <w:bCs/>
        </w:rPr>
      </w:pPr>
      <w:r w:rsidRPr="00867ADC">
        <w:rPr>
          <w:b/>
          <w:bCs/>
        </w:rPr>
        <w:lastRenderedPageBreak/>
        <w:t>Statement about the current year’s run (e.g., higher or lower than 10-year average</w:t>
      </w:r>
      <w:proofErr w:type="gramStart"/>
      <w:r w:rsidRPr="00867ADC">
        <w:rPr>
          <w:b/>
          <w:bCs/>
        </w:rPr>
        <w:t>);</w:t>
      </w:r>
      <w:proofErr w:type="gramEnd"/>
    </w:p>
    <w:p w14:paraId="78BE7910" w14:textId="12E3F31C" w:rsidR="007E643E" w:rsidRDefault="00EB4F5D" w:rsidP="007E643E">
      <w:pPr>
        <w:pStyle w:val="FPP4"/>
        <w:numPr>
          <w:ilvl w:val="1"/>
          <w:numId w:val="4"/>
        </w:numPr>
        <w:spacing w:after="120"/>
      </w:pPr>
      <w:r>
        <w:t>Based on WDFW’s 2024</w:t>
      </w:r>
      <w:r w:rsidR="005E7E2B">
        <w:t xml:space="preserve"> adult</w:t>
      </w:r>
      <w:r>
        <w:t xml:space="preserve"> </w:t>
      </w:r>
      <w:r w:rsidR="009D7F2B">
        <w:t>forecasts</w:t>
      </w:r>
      <w:r>
        <w:t xml:space="preserve"> </w:t>
      </w:r>
      <w:r w:rsidR="007E643E">
        <w:t xml:space="preserve">obtained from: </w:t>
      </w:r>
      <w:r w:rsidR="007E643E" w:rsidRPr="007E643E">
        <w:t>https://wdfw.wa.gov/sites/default/files/2024-01/2024-spring-summer-forecasts.pdf</w:t>
      </w:r>
    </w:p>
    <w:p w14:paraId="12340B99" w14:textId="3A053929" w:rsidR="00120B79" w:rsidRDefault="007E643E" w:rsidP="007E643E">
      <w:pPr>
        <w:pStyle w:val="FPP4"/>
        <w:numPr>
          <w:ilvl w:val="1"/>
          <w:numId w:val="4"/>
        </w:numPr>
        <w:spacing w:after="120"/>
      </w:pPr>
      <w:r>
        <w:t xml:space="preserve">Compared to the 10-yr avg BON passage obtained from DART at </w:t>
      </w:r>
      <w:r w:rsidRPr="007E643E">
        <w:t>https://www.cbr.washington.edu/dart/query/adult_daily</w:t>
      </w:r>
    </w:p>
    <w:p w14:paraId="7D8EEF6F" w14:textId="0FD6D119" w:rsidR="007E643E" w:rsidRDefault="007E643E" w:rsidP="005D1A60">
      <w:pPr>
        <w:pStyle w:val="FPP4"/>
        <w:spacing w:after="120"/>
        <w:ind w:left="2160"/>
      </w:pPr>
      <w:r>
        <w:t>2024 Spring Chinook upriver total (121,000) are forecasted to be higher than the 10-yr avg of 112,443.</w:t>
      </w:r>
    </w:p>
    <w:p w14:paraId="57A88680" w14:textId="48574F6B" w:rsidR="007E643E" w:rsidRDefault="007E643E" w:rsidP="005D1A60">
      <w:pPr>
        <w:pStyle w:val="FPP4"/>
        <w:spacing w:after="120"/>
        <w:ind w:left="2160"/>
      </w:pPr>
      <w:r>
        <w:t>2024 Summer Chinook (53,000) are forecasted to be lower than the 10-yr avg of 94,886.</w:t>
      </w:r>
    </w:p>
    <w:p w14:paraId="7B4203D0" w14:textId="6EBF5131" w:rsidR="0000510C" w:rsidRDefault="0000510C" w:rsidP="005D1A60">
      <w:pPr>
        <w:pStyle w:val="FPP4"/>
        <w:spacing w:after="120"/>
        <w:ind w:left="2160"/>
      </w:pPr>
      <w:r>
        <w:t>2024 Total Columbia Sockeye (401,700) are forecasted to be higher than the 10-yr avg of 315,420.</w:t>
      </w:r>
    </w:p>
    <w:p w14:paraId="5BD2ACEC" w14:textId="5D497E79" w:rsidR="007E643E" w:rsidRDefault="0000510C" w:rsidP="005D1A60">
      <w:pPr>
        <w:pStyle w:val="FPP4"/>
        <w:spacing w:after="120"/>
        <w:ind w:left="2160"/>
      </w:pPr>
      <w:r>
        <w:t>2024</w:t>
      </w:r>
      <w:r w:rsidR="00980675">
        <w:t xml:space="preserve"> Total Upriver Steelhead (126,200) are forecasted to be lower than the 10-yr avg of 162,989.</w:t>
      </w:r>
    </w:p>
    <w:p w14:paraId="2C6181C3" w14:textId="77777777" w:rsidR="00F842FF" w:rsidRPr="00867ADC" w:rsidRDefault="00F842FF" w:rsidP="00243D4D">
      <w:pPr>
        <w:pStyle w:val="FPP4"/>
        <w:numPr>
          <w:ilvl w:val="0"/>
          <w:numId w:val="3"/>
        </w:numPr>
        <w:spacing w:after="120"/>
        <w:rPr>
          <w:b/>
          <w:bCs/>
        </w:rPr>
      </w:pPr>
      <w:r w:rsidRPr="00867ADC">
        <w:rPr>
          <w:b/>
          <w:bCs/>
        </w:rPr>
        <w:t>Estimated exposure to impact by species and age class (i.e., number or percentage of run exposed to an impact by the action</w:t>
      </w:r>
      <w:proofErr w:type="gramStart"/>
      <w:r w:rsidRPr="00867ADC">
        <w:rPr>
          <w:b/>
          <w:bCs/>
        </w:rPr>
        <w:t>);</w:t>
      </w:r>
      <w:proofErr w:type="gramEnd"/>
    </w:p>
    <w:p w14:paraId="3BBAB15D" w14:textId="77777777" w:rsidR="005E7E2B" w:rsidRDefault="005E7E2B" w:rsidP="005E7E2B">
      <w:pPr>
        <w:pStyle w:val="FPP4"/>
        <w:numPr>
          <w:ilvl w:val="0"/>
          <w:numId w:val="5"/>
        </w:numPr>
        <w:spacing w:after="120"/>
      </w:pPr>
      <w:r>
        <w:t>The study period of 20 April through 20 July covers roughly the 25-yr median of the 80% range of historic run timing for predominant juvenile outmigration at BON.</w:t>
      </w:r>
    </w:p>
    <w:p w14:paraId="2962FB02" w14:textId="73ECB35D" w:rsidR="00EB4F5D" w:rsidRDefault="005C3A61" w:rsidP="00867ADC">
      <w:pPr>
        <w:pStyle w:val="ListParagraph"/>
        <w:numPr>
          <w:ilvl w:val="0"/>
          <w:numId w:val="5"/>
        </w:numPr>
      </w:pPr>
      <w:r>
        <w:t xml:space="preserve">No </w:t>
      </w:r>
      <w:r w:rsidR="00867ADC">
        <w:t xml:space="preserve">adult </w:t>
      </w:r>
      <w:r>
        <w:t xml:space="preserve">impacts expected. </w:t>
      </w:r>
    </w:p>
    <w:p w14:paraId="33BBD7DA" w14:textId="77777777" w:rsidR="00F842FF" w:rsidRPr="00867ADC" w:rsidRDefault="00F842FF" w:rsidP="00243D4D">
      <w:pPr>
        <w:pStyle w:val="FPP4"/>
        <w:numPr>
          <w:ilvl w:val="0"/>
          <w:numId w:val="3"/>
        </w:numPr>
        <w:spacing w:after="120"/>
        <w:rPr>
          <w:b/>
          <w:bCs/>
        </w:rPr>
      </w:pPr>
      <w:r w:rsidRPr="00867ADC">
        <w:rPr>
          <w:b/>
          <w:bCs/>
        </w:rPr>
        <w:t>Type of impact by species and age class (increased delay, exposure to predation, exposure to a route of higher injury/mortality rate, exposure to higher TDG, etc.</w:t>
      </w:r>
      <w:proofErr w:type="gramStart"/>
      <w:r w:rsidRPr="00867ADC">
        <w:rPr>
          <w:b/>
          <w:bCs/>
        </w:rPr>
        <w:t>);</w:t>
      </w:r>
      <w:proofErr w:type="gramEnd"/>
    </w:p>
    <w:p w14:paraId="6673FF6B" w14:textId="22C46F40" w:rsidR="00F523CA" w:rsidRDefault="005C3A61" w:rsidP="00F523CA">
      <w:pPr>
        <w:pStyle w:val="FPP4"/>
        <w:spacing w:after="120"/>
      </w:pPr>
      <w:r>
        <w:t>No impacts expected.</w:t>
      </w:r>
    </w:p>
    <w:p w14:paraId="4854A102" w14:textId="77777777" w:rsidR="00F842FF" w:rsidRDefault="00F842FF" w:rsidP="00B43BDE">
      <w:pPr>
        <w:pStyle w:val="PlainText"/>
        <w:rPr>
          <w:rFonts w:ascii="Times New Roman" w:hAnsi="Times New Roman" w:cs="Times New Roman"/>
          <w:b/>
          <w:sz w:val="24"/>
          <w:szCs w:val="24"/>
        </w:rPr>
      </w:pPr>
    </w:p>
    <w:p w14:paraId="71B1A942" w14:textId="77777777" w:rsidR="00B43BDE"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Summary statement - expected impacts on: </w:t>
      </w:r>
    </w:p>
    <w:p w14:paraId="47B73985" w14:textId="77777777" w:rsidR="00C67FA5" w:rsidRDefault="00C67FA5" w:rsidP="00B43BDE">
      <w:pPr>
        <w:pStyle w:val="PlainText"/>
        <w:rPr>
          <w:rFonts w:ascii="Times New Roman" w:hAnsi="Times New Roman" w:cs="Times New Roman"/>
          <w:b/>
          <w:sz w:val="24"/>
          <w:szCs w:val="24"/>
        </w:rPr>
      </w:pPr>
    </w:p>
    <w:p w14:paraId="5B26768F" w14:textId="77777777" w:rsidR="00C67FA5" w:rsidRDefault="00C67FA5" w:rsidP="00B43BDE">
      <w:pPr>
        <w:pStyle w:val="PlainText"/>
        <w:rPr>
          <w:rFonts w:ascii="Times New Roman" w:hAnsi="Times New Roman" w:cs="Times New Roman"/>
          <w:b/>
          <w:sz w:val="24"/>
          <w:szCs w:val="24"/>
        </w:rPr>
      </w:pPr>
      <w:r>
        <w:rPr>
          <w:rFonts w:ascii="Times New Roman" w:hAnsi="Times New Roman" w:cs="Times New Roman"/>
          <w:b/>
          <w:sz w:val="24"/>
          <w:szCs w:val="24"/>
        </w:rPr>
        <w:tab/>
        <w:t>Downstream migrants</w:t>
      </w:r>
    </w:p>
    <w:p w14:paraId="2EF455CA" w14:textId="262F886B" w:rsidR="004833C8" w:rsidRDefault="004833C8" w:rsidP="00342A20">
      <w:pPr>
        <w:pStyle w:val="PlainText"/>
        <w:ind w:left="720"/>
        <w:jc w:val="both"/>
        <w:rPr>
          <w:rFonts w:ascii="Times New Roman" w:hAnsi="Times New Roman" w:cs="Times New Roman"/>
          <w:bCs/>
          <w:sz w:val="24"/>
          <w:szCs w:val="24"/>
        </w:rPr>
      </w:pPr>
      <w:r>
        <w:rPr>
          <w:rFonts w:ascii="Times New Roman" w:hAnsi="Times New Roman" w:cs="Times New Roman"/>
          <w:bCs/>
          <w:sz w:val="24"/>
          <w:szCs w:val="24"/>
        </w:rPr>
        <w:t>The purpose of this study is to determine if the structural improvements</w:t>
      </w:r>
      <w:r w:rsidR="00E74804">
        <w:rPr>
          <w:rFonts w:ascii="Times New Roman" w:hAnsi="Times New Roman" w:cs="Times New Roman"/>
          <w:bCs/>
          <w:sz w:val="24"/>
          <w:szCs w:val="24"/>
        </w:rPr>
        <w:t xml:space="preserve"> completed in the </w:t>
      </w:r>
      <w:proofErr w:type="spellStart"/>
      <w:r w:rsidR="00E74804">
        <w:rPr>
          <w:rFonts w:ascii="Times New Roman" w:hAnsi="Times New Roman" w:cs="Times New Roman"/>
          <w:bCs/>
          <w:sz w:val="24"/>
          <w:szCs w:val="24"/>
        </w:rPr>
        <w:t>gatewells</w:t>
      </w:r>
      <w:proofErr w:type="spellEnd"/>
      <w:r w:rsidR="00E74804">
        <w:rPr>
          <w:rFonts w:ascii="Times New Roman" w:hAnsi="Times New Roman" w:cs="Times New Roman"/>
          <w:bCs/>
          <w:sz w:val="24"/>
          <w:szCs w:val="24"/>
        </w:rPr>
        <w:t xml:space="preserve"> A&amp;B </w:t>
      </w:r>
      <w:r w:rsidR="00783E36">
        <w:rPr>
          <w:rFonts w:ascii="Times New Roman" w:hAnsi="Times New Roman" w:cs="Times New Roman"/>
          <w:bCs/>
          <w:sz w:val="24"/>
          <w:szCs w:val="24"/>
        </w:rPr>
        <w:t xml:space="preserve">of B2 units </w:t>
      </w:r>
      <w:r w:rsidR="00E74804">
        <w:rPr>
          <w:rFonts w:ascii="Times New Roman" w:hAnsi="Times New Roman" w:cs="Times New Roman"/>
          <w:bCs/>
          <w:sz w:val="24"/>
          <w:szCs w:val="24"/>
        </w:rPr>
        <w:t>have resulted in acceptable fish passage conditions at the middle and upper 1% peak efficiency range, therefore</w:t>
      </w:r>
      <w:r w:rsidR="00783E36">
        <w:rPr>
          <w:rFonts w:ascii="Times New Roman" w:hAnsi="Times New Roman" w:cs="Times New Roman"/>
          <w:bCs/>
          <w:sz w:val="24"/>
          <w:szCs w:val="24"/>
        </w:rPr>
        <w:t>,</w:t>
      </w:r>
      <w:r w:rsidR="00E74804">
        <w:rPr>
          <w:rFonts w:ascii="Times New Roman" w:hAnsi="Times New Roman" w:cs="Times New Roman"/>
          <w:bCs/>
          <w:sz w:val="24"/>
          <w:szCs w:val="24"/>
        </w:rPr>
        <w:t xml:space="preserve"> at this time it is unknown if there are negative </w:t>
      </w:r>
      <w:r w:rsidR="00373D1A">
        <w:rPr>
          <w:rFonts w:ascii="Times New Roman" w:hAnsi="Times New Roman" w:cs="Times New Roman"/>
          <w:bCs/>
          <w:sz w:val="24"/>
          <w:szCs w:val="24"/>
        </w:rPr>
        <w:t>impacts to downstream migrants when implementing the test schedule.</w:t>
      </w:r>
    </w:p>
    <w:p w14:paraId="25577A64" w14:textId="2819D33F" w:rsidR="00373D1A" w:rsidRDefault="00373D1A" w:rsidP="00342A20">
      <w:pPr>
        <w:pStyle w:val="PlainText"/>
        <w:ind w:left="720"/>
        <w:jc w:val="both"/>
        <w:rPr>
          <w:rFonts w:ascii="Times New Roman" w:hAnsi="Times New Roman" w:cs="Times New Roman"/>
          <w:bCs/>
          <w:sz w:val="24"/>
          <w:szCs w:val="24"/>
        </w:rPr>
      </w:pPr>
      <w:r>
        <w:rPr>
          <w:rFonts w:ascii="Times New Roman" w:hAnsi="Times New Roman" w:cs="Times New Roman"/>
          <w:bCs/>
          <w:sz w:val="24"/>
          <w:szCs w:val="24"/>
        </w:rPr>
        <w:t xml:space="preserve">For the impingement evaluation, sonar equipment will be deployed in a single unit’s </w:t>
      </w:r>
      <w:proofErr w:type="spellStart"/>
      <w:r>
        <w:rPr>
          <w:rFonts w:ascii="Times New Roman" w:hAnsi="Times New Roman" w:cs="Times New Roman"/>
          <w:bCs/>
          <w:sz w:val="24"/>
          <w:szCs w:val="24"/>
        </w:rPr>
        <w:t>gatewell</w:t>
      </w:r>
      <w:r w:rsidR="007047AF">
        <w:rPr>
          <w:rFonts w:ascii="Times New Roman" w:hAnsi="Times New Roman" w:cs="Times New Roman"/>
          <w:bCs/>
          <w:sz w:val="24"/>
          <w:szCs w:val="24"/>
        </w:rPr>
        <w:t>s</w:t>
      </w:r>
      <w:proofErr w:type="spellEnd"/>
      <w:r>
        <w:rPr>
          <w:rFonts w:ascii="Times New Roman" w:hAnsi="Times New Roman" w:cs="Times New Roman"/>
          <w:bCs/>
          <w:sz w:val="24"/>
          <w:szCs w:val="24"/>
        </w:rPr>
        <w:t xml:space="preserve"> </w:t>
      </w:r>
      <w:r w:rsidR="007047AF">
        <w:rPr>
          <w:rFonts w:ascii="Times New Roman" w:hAnsi="Times New Roman" w:cs="Times New Roman"/>
          <w:bCs/>
          <w:sz w:val="24"/>
          <w:szCs w:val="24"/>
        </w:rPr>
        <w:t xml:space="preserve">(slots </w:t>
      </w:r>
      <w:r>
        <w:rPr>
          <w:rFonts w:ascii="Times New Roman" w:hAnsi="Times New Roman" w:cs="Times New Roman"/>
          <w:bCs/>
          <w:sz w:val="24"/>
          <w:szCs w:val="24"/>
        </w:rPr>
        <w:t>A&amp;C</w:t>
      </w:r>
      <w:r w:rsidR="007047AF">
        <w:rPr>
          <w:rFonts w:ascii="Times New Roman" w:hAnsi="Times New Roman" w:cs="Times New Roman"/>
          <w:bCs/>
          <w:sz w:val="24"/>
          <w:szCs w:val="24"/>
        </w:rPr>
        <w:t>)</w:t>
      </w:r>
      <w:r>
        <w:rPr>
          <w:rFonts w:ascii="Times New Roman" w:hAnsi="Times New Roman" w:cs="Times New Roman"/>
          <w:bCs/>
          <w:sz w:val="24"/>
          <w:szCs w:val="24"/>
        </w:rPr>
        <w:t xml:space="preserve"> for 24 hours, once per week during the study periods. The sonar platform can be seen in </w:t>
      </w:r>
      <w:r w:rsidRPr="00783E36">
        <w:rPr>
          <w:rFonts w:ascii="Times New Roman" w:hAnsi="Times New Roman" w:cs="Times New Roman"/>
          <w:b/>
          <w:sz w:val="24"/>
          <w:szCs w:val="24"/>
        </w:rPr>
        <w:t>Figure 3</w:t>
      </w:r>
      <w:r>
        <w:rPr>
          <w:rFonts w:ascii="Times New Roman" w:hAnsi="Times New Roman" w:cs="Times New Roman"/>
          <w:bCs/>
          <w:sz w:val="24"/>
          <w:szCs w:val="24"/>
        </w:rPr>
        <w:t>. The sonar platform</w:t>
      </w:r>
      <w:r w:rsidR="00E46FC1">
        <w:rPr>
          <w:rFonts w:ascii="Times New Roman" w:hAnsi="Times New Roman" w:cs="Times New Roman"/>
          <w:bCs/>
          <w:sz w:val="24"/>
          <w:szCs w:val="24"/>
        </w:rPr>
        <w:t xml:space="preserve"> will be </w:t>
      </w:r>
      <w:r>
        <w:rPr>
          <w:rFonts w:ascii="Times New Roman" w:hAnsi="Times New Roman" w:cs="Times New Roman"/>
          <w:bCs/>
          <w:sz w:val="24"/>
          <w:szCs w:val="24"/>
        </w:rPr>
        <w:t xml:space="preserve">deployed in the middle of the </w:t>
      </w:r>
      <w:proofErr w:type="spellStart"/>
      <w:r>
        <w:rPr>
          <w:rFonts w:ascii="Times New Roman" w:hAnsi="Times New Roman" w:cs="Times New Roman"/>
          <w:bCs/>
          <w:sz w:val="24"/>
          <w:szCs w:val="24"/>
        </w:rPr>
        <w:t>gatewell</w:t>
      </w:r>
      <w:proofErr w:type="spellEnd"/>
      <w:r w:rsidR="00E46FC1">
        <w:rPr>
          <w:rFonts w:ascii="Times New Roman" w:hAnsi="Times New Roman" w:cs="Times New Roman"/>
          <w:bCs/>
          <w:sz w:val="24"/>
          <w:szCs w:val="24"/>
        </w:rPr>
        <w:t xml:space="preserve"> slot</w:t>
      </w:r>
      <w:r>
        <w:rPr>
          <w:rFonts w:ascii="Times New Roman" w:hAnsi="Times New Roman" w:cs="Times New Roman"/>
          <w:bCs/>
          <w:sz w:val="24"/>
          <w:szCs w:val="24"/>
        </w:rPr>
        <w:t>, roughly 16 feet below</w:t>
      </w:r>
      <w:r w:rsidR="00E46FC1">
        <w:rPr>
          <w:rFonts w:ascii="Times New Roman" w:hAnsi="Times New Roman" w:cs="Times New Roman"/>
          <w:bCs/>
          <w:sz w:val="24"/>
          <w:szCs w:val="24"/>
        </w:rPr>
        <w:t xml:space="preserve"> </w:t>
      </w:r>
      <w:r>
        <w:rPr>
          <w:rFonts w:ascii="Times New Roman" w:hAnsi="Times New Roman" w:cs="Times New Roman"/>
          <w:bCs/>
          <w:sz w:val="24"/>
          <w:szCs w:val="24"/>
        </w:rPr>
        <w:t>the water surface</w:t>
      </w:r>
      <w:r w:rsidR="00E46FC1">
        <w:rPr>
          <w:rFonts w:ascii="Times New Roman" w:hAnsi="Times New Roman" w:cs="Times New Roman"/>
          <w:bCs/>
          <w:sz w:val="24"/>
          <w:szCs w:val="24"/>
        </w:rPr>
        <w:t xml:space="preserve"> near el. +58’</w:t>
      </w:r>
      <w:r w:rsidR="00783E36">
        <w:rPr>
          <w:rFonts w:ascii="Times New Roman" w:hAnsi="Times New Roman" w:cs="Times New Roman"/>
          <w:bCs/>
          <w:sz w:val="24"/>
          <w:szCs w:val="24"/>
        </w:rPr>
        <w:t xml:space="preserve"> which is near the central region of the VBS</w:t>
      </w:r>
      <w:r>
        <w:rPr>
          <w:rFonts w:ascii="Times New Roman" w:hAnsi="Times New Roman" w:cs="Times New Roman"/>
          <w:bCs/>
          <w:sz w:val="24"/>
          <w:szCs w:val="24"/>
        </w:rPr>
        <w:t xml:space="preserve">. </w:t>
      </w:r>
      <w:r w:rsidR="007047AF">
        <w:rPr>
          <w:rFonts w:ascii="Times New Roman" w:hAnsi="Times New Roman" w:cs="Times New Roman"/>
          <w:bCs/>
          <w:sz w:val="24"/>
          <w:szCs w:val="24"/>
        </w:rPr>
        <w:t xml:space="preserve">Fish that enter the </w:t>
      </w:r>
      <w:proofErr w:type="spellStart"/>
      <w:r w:rsidR="007047AF">
        <w:rPr>
          <w:rFonts w:ascii="Times New Roman" w:hAnsi="Times New Roman" w:cs="Times New Roman"/>
          <w:bCs/>
          <w:sz w:val="24"/>
          <w:szCs w:val="24"/>
        </w:rPr>
        <w:t>gatewells</w:t>
      </w:r>
      <w:proofErr w:type="spellEnd"/>
      <w:r w:rsidR="007047AF">
        <w:rPr>
          <w:rFonts w:ascii="Times New Roman" w:hAnsi="Times New Roman" w:cs="Times New Roman"/>
          <w:bCs/>
          <w:sz w:val="24"/>
          <w:szCs w:val="24"/>
        </w:rPr>
        <w:t xml:space="preserve"> during the 24-hr impingement evaluation may encounter the </w:t>
      </w:r>
      <w:r w:rsidR="00783E36">
        <w:rPr>
          <w:rFonts w:ascii="Times New Roman" w:hAnsi="Times New Roman" w:cs="Times New Roman"/>
          <w:bCs/>
          <w:sz w:val="24"/>
          <w:szCs w:val="24"/>
        </w:rPr>
        <w:t>sonar mounting platform</w:t>
      </w:r>
      <w:r w:rsidR="007047AF">
        <w:rPr>
          <w:rFonts w:ascii="Times New Roman" w:hAnsi="Times New Roman" w:cs="Times New Roman"/>
          <w:bCs/>
          <w:sz w:val="24"/>
          <w:szCs w:val="24"/>
        </w:rPr>
        <w:t>. However,</w:t>
      </w:r>
      <w:r w:rsidR="00783E36">
        <w:rPr>
          <w:rFonts w:ascii="Times New Roman" w:hAnsi="Times New Roman" w:cs="Times New Roman"/>
          <w:bCs/>
          <w:sz w:val="24"/>
          <w:szCs w:val="24"/>
        </w:rPr>
        <w:t xml:space="preserve"> fish should be able to swim away from the equipment as</w:t>
      </w:r>
      <w:r w:rsidR="007047AF">
        <w:rPr>
          <w:rFonts w:ascii="Times New Roman" w:hAnsi="Times New Roman" w:cs="Times New Roman"/>
          <w:bCs/>
          <w:sz w:val="24"/>
          <w:szCs w:val="24"/>
        </w:rPr>
        <w:t xml:space="preserve"> </w:t>
      </w:r>
      <w:r w:rsidR="00783E36">
        <w:rPr>
          <w:rFonts w:ascii="Times New Roman" w:hAnsi="Times New Roman" w:cs="Times New Roman"/>
          <w:bCs/>
          <w:sz w:val="24"/>
          <w:szCs w:val="24"/>
        </w:rPr>
        <w:t>velocities near</w:t>
      </w:r>
      <w:r w:rsidR="007047AF">
        <w:rPr>
          <w:rFonts w:ascii="Times New Roman" w:hAnsi="Times New Roman" w:cs="Times New Roman"/>
          <w:bCs/>
          <w:sz w:val="24"/>
          <w:szCs w:val="24"/>
        </w:rPr>
        <w:t xml:space="preserve"> </w:t>
      </w:r>
      <w:r w:rsidR="00DB5678">
        <w:rPr>
          <w:rFonts w:ascii="Times New Roman" w:hAnsi="Times New Roman" w:cs="Times New Roman"/>
          <w:bCs/>
          <w:sz w:val="24"/>
          <w:szCs w:val="24"/>
        </w:rPr>
        <w:t xml:space="preserve">el.+58’ </w:t>
      </w:r>
      <w:r w:rsidR="007047AF">
        <w:rPr>
          <w:rFonts w:ascii="Times New Roman" w:hAnsi="Times New Roman" w:cs="Times New Roman"/>
          <w:bCs/>
          <w:sz w:val="24"/>
          <w:szCs w:val="24"/>
        </w:rPr>
        <w:t xml:space="preserve">are </w:t>
      </w:r>
      <w:r w:rsidR="00783E36">
        <w:rPr>
          <w:rFonts w:ascii="Times New Roman" w:hAnsi="Times New Roman" w:cs="Times New Roman"/>
          <w:bCs/>
          <w:sz w:val="24"/>
          <w:szCs w:val="24"/>
        </w:rPr>
        <w:t>relatively small in magnitude</w:t>
      </w:r>
      <w:r w:rsidR="005C3A61">
        <w:rPr>
          <w:rFonts w:ascii="Times New Roman" w:hAnsi="Times New Roman" w:cs="Times New Roman"/>
          <w:bCs/>
          <w:sz w:val="24"/>
          <w:szCs w:val="24"/>
        </w:rPr>
        <w:t xml:space="preserve"> (</w:t>
      </w:r>
      <w:r w:rsidR="00783E36">
        <w:rPr>
          <w:rFonts w:ascii="Times New Roman" w:hAnsi="Times New Roman" w:cs="Times New Roman"/>
          <w:bCs/>
          <w:sz w:val="24"/>
          <w:szCs w:val="24"/>
        </w:rPr>
        <w:t>Alden 2022)</w:t>
      </w:r>
      <w:r w:rsidR="005C3A61">
        <w:rPr>
          <w:rFonts w:ascii="Times New Roman" w:hAnsi="Times New Roman" w:cs="Times New Roman"/>
          <w:bCs/>
          <w:sz w:val="24"/>
          <w:szCs w:val="24"/>
        </w:rPr>
        <w:t xml:space="preserve"> </w:t>
      </w:r>
      <w:r w:rsidR="00783E36">
        <w:rPr>
          <w:rFonts w:ascii="Times New Roman" w:hAnsi="Times New Roman" w:cs="Times New Roman"/>
          <w:bCs/>
          <w:sz w:val="24"/>
          <w:szCs w:val="24"/>
        </w:rPr>
        <w:t>at this elevation while the unit was running at 18.2kcfs, which is greater flow condition than what this study is proposing.</w:t>
      </w:r>
    </w:p>
    <w:p w14:paraId="03A31D8C" w14:textId="2CA86500" w:rsidR="00783E36" w:rsidRDefault="00783E36" w:rsidP="00342A20">
      <w:pPr>
        <w:pStyle w:val="PlainText"/>
        <w:ind w:left="720"/>
        <w:jc w:val="both"/>
        <w:rPr>
          <w:rFonts w:ascii="Times New Roman" w:hAnsi="Times New Roman" w:cs="Times New Roman"/>
          <w:bCs/>
          <w:sz w:val="24"/>
          <w:szCs w:val="24"/>
        </w:rPr>
      </w:pPr>
      <w:r>
        <w:rPr>
          <w:noProof/>
        </w:rPr>
        <w:lastRenderedPageBreak/>
        <w:drawing>
          <wp:inline distT="0" distB="0" distL="0" distR="0" wp14:anchorId="533777F5" wp14:editId="1201CC5F">
            <wp:extent cx="3738253" cy="2526441"/>
            <wp:effectExtent l="38100" t="38100" r="33655" b="457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8241" cy="2560224"/>
                    </a:xfrm>
                    <a:prstGeom prst="rect">
                      <a:avLst/>
                    </a:prstGeom>
                    <a:noFill/>
                    <a:ln w="28575" cmpd="sng">
                      <a:solidFill>
                        <a:srgbClr val="000000"/>
                      </a:solidFill>
                      <a:miter lim="800000"/>
                      <a:headEnd/>
                      <a:tailEnd/>
                    </a:ln>
                    <a:effectLst/>
                  </pic:spPr>
                </pic:pic>
              </a:graphicData>
            </a:graphic>
          </wp:inline>
        </w:drawing>
      </w:r>
    </w:p>
    <w:p w14:paraId="5E5D2A2A" w14:textId="48F57F8A" w:rsidR="00783E36" w:rsidRPr="004833C8" w:rsidRDefault="00783E36" w:rsidP="00E74804">
      <w:pPr>
        <w:pStyle w:val="PlainText"/>
        <w:ind w:left="720"/>
        <w:rPr>
          <w:rFonts w:ascii="Times New Roman" w:hAnsi="Times New Roman" w:cs="Times New Roman"/>
          <w:bCs/>
          <w:sz w:val="24"/>
          <w:szCs w:val="24"/>
        </w:rPr>
      </w:pPr>
      <w:r>
        <w:rPr>
          <w:rFonts w:ascii="Times New Roman" w:hAnsi="Times New Roman" w:cs="Times New Roman"/>
          <w:bCs/>
          <w:sz w:val="24"/>
          <w:szCs w:val="24"/>
        </w:rPr>
        <w:t xml:space="preserve">Figure 3. Photograph of sonar mounting platform. Photo from of PNNL (2024). </w:t>
      </w:r>
    </w:p>
    <w:p w14:paraId="6D9F4495" w14:textId="77777777" w:rsidR="00C67FA5" w:rsidRDefault="00C67FA5" w:rsidP="00B43BDE">
      <w:pPr>
        <w:pStyle w:val="PlainText"/>
        <w:rPr>
          <w:rFonts w:ascii="Times New Roman" w:hAnsi="Times New Roman" w:cs="Times New Roman"/>
          <w:b/>
          <w:sz w:val="24"/>
          <w:szCs w:val="24"/>
        </w:rPr>
      </w:pPr>
    </w:p>
    <w:p w14:paraId="5AFFED67" w14:textId="7E302593" w:rsidR="008E7E55" w:rsidRDefault="00C67FA5" w:rsidP="008E7E55">
      <w:pPr>
        <w:pStyle w:val="PlainText"/>
        <w:ind w:firstLine="720"/>
        <w:rPr>
          <w:rFonts w:ascii="Times New Roman" w:hAnsi="Times New Roman" w:cs="Times New Roman"/>
          <w:b/>
          <w:sz w:val="24"/>
          <w:szCs w:val="24"/>
        </w:rPr>
      </w:pPr>
      <w:r>
        <w:rPr>
          <w:rFonts w:ascii="Times New Roman" w:hAnsi="Times New Roman" w:cs="Times New Roman"/>
          <w:b/>
          <w:sz w:val="24"/>
          <w:szCs w:val="24"/>
        </w:rPr>
        <w:t>Upstream migrants (including Bull Trout</w:t>
      </w:r>
      <w:r w:rsidR="008E7E55">
        <w:rPr>
          <w:rFonts w:ascii="Times New Roman" w:hAnsi="Times New Roman" w:cs="Times New Roman"/>
          <w:b/>
          <w:sz w:val="24"/>
          <w:szCs w:val="24"/>
        </w:rPr>
        <w:t xml:space="preserve"> and Lamprey</w:t>
      </w:r>
      <w:r>
        <w:rPr>
          <w:rFonts w:ascii="Times New Roman" w:hAnsi="Times New Roman" w:cs="Times New Roman"/>
          <w:b/>
          <w:sz w:val="24"/>
          <w:szCs w:val="24"/>
        </w:rPr>
        <w:t>)</w:t>
      </w:r>
    </w:p>
    <w:p w14:paraId="223B6C5C" w14:textId="4E4CE131" w:rsidR="008E7E55" w:rsidRPr="008E7E55" w:rsidRDefault="008E7E55" w:rsidP="00342A20">
      <w:pPr>
        <w:pStyle w:val="PlainText"/>
        <w:ind w:left="720"/>
        <w:jc w:val="both"/>
        <w:rPr>
          <w:rFonts w:ascii="Times New Roman" w:hAnsi="Times New Roman" w:cs="Times New Roman"/>
          <w:b/>
          <w:sz w:val="28"/>
          <w:szCs w:val="28"/>
        </w:rPr>
      </w:pPr>
      <w:r w:rsidRPr="008E7E55">
        <w:rPr>
          <w:rFonts w:ascii="Times New Roman" w:hAnsi="Times New Roman" w:cs="Times New Roman"/>
          <w:sz w:val="24"/>
          <w:szCs w:val="24"/>
        </w:rPr>
        <w:t>No impacts to adult salmonids, bull trout, or lamprey ladder entry or migration since Powerhouse 2 remains the priority powerhouse and both end units (11 &amp; 18) remain at the top of the unit priority list to aid in attraction to the adult ladder monolith entrances</w:t>
      </w:r>
      <w:r>
        <w:rPr>
          <w:rFonts w:ascii="Times New Roman" w:hAnsi="Times New Roman" w:cs="Times New Roman"/>
          <w:sz w:val="24"/>
          <w:szCs w:val="24"/>
        </w:rPr>
        <w:t xml:space="preserve"> in the Powerhouse 2 tailrace</w:t>
      </w:r>
      <w:r w:rsidRPr="008E7E55">
        <w:rPr>
          <w:rFonts w:ascii="Times New Roman" w:hAnsi="Times New Roman" w:cs="Times New Roman"/>
          <w:sz w:val="24"/>
          <w:szCs w:val="24"/>
        </w:rPr>
        <w:t xml:space="preserve">. Lamprey nighttime operations that begin 01 June (FPP Section 2.4.2.13.vi) will not be impacted by the </w:t>
      </w:r>
      <w:r>
        <w:rPr>
          <w:rFonts w:ascii="Times New Roman" w:hAnsi="Times New Roman" w:cs="Times New Roman"/>
          <w:sz w:val="24"/>
          <w:szCs w:val="24"/>
        </w:rPr>
        <w:t xml:space="preserve">B2FGE </w:t>
      </w:r>
      <w:r w:rsidRPr="008E7E55">
        <w:rPr>
          <w:rFonts w:ascii="Times New Roman" w:hAnsi="Times New Roman" w:cs="Times New Roman"/>
          <w:sz w:val="24"/>
          <w:szCs w:val="24"/>
        </w:rPr>
        <w:t>test schedule.</w:t>
      </w:r>
    </w:p>
    <w:p w14:paraId="15715B9E" w14:textId="77777777" w:rsidR="00C67FA5" w:rsidRDefault="00C67FA5" w:rsidP="00B43BDE">
      <w:pPr>
        <w:pStyle w:val="PlainText"/>
        <w:rPr>
          <w:rFonts w:ascii="Times New Roman" w:hAnsi="Times New Roman" w:cs="Times New Roman"/>
          <w:b/>
          <w:sz w:val="24"/>
          <w:szCs w:val="24"/>
        </w:rPr>
      </w:pPr>
    </w:p>
    <w:p w14:paraId="38D46BC1" w14:textId="75FBDE67" w:rsidR="00C67FA5" w:rsidRDefault="00C67FA5" w:rsidP="00B43BDE">
      <w:pPr>
        <w:pStyle w:val="PlainText"/>
        <w:rPr>
          <w:rFonts w:ascii="Times New Roman" w:hAnsi="Times New Roman" w:cs="Times New Roman"/>
          <w:b/>
          <w:sz w:val="24"/>
          <w:szCs w:val="24"/>
        </w:rPr>
      </w:pPr>
    </w:p>
    <w:p w14:paraId="23CD693D" w14:textId="77777777" w:rsidR="00A617EC" w:rsidRDefault="00A617EC" w:rsidP="00B43BDE">
      <w:pPr>
        <w:pStyle w:val="PlainText"/>
        <w:rPr>
          <w:rFonts w:ascii="Times New Roman" w:hAnsi="Times New Roman" w:cs="Times New Roman"/>
          <w:b/>
          <w:sz w:val="24"/>
          <w:szCs w:val="24"/>
        </w:rPr>
      </w:pPr>
    </w:p>
    <w:p w14:paraId="49B6ABCB" w14:textId="0B9A7637" w:rsidR="00A617EC" w:rsidRDefault="00A617EC" w:rsidP="00B43BDE">
      <w:pPr>
        <w:pStyle w:val="PlainText"/>
        <w:rPr>
          <w:rFonts w:ascii="Times New Roman" w:hAnsi="Times New Roman" w:cs="Times New Roman"/>
          <w:b/>
          <w:sz w:val="24"/>
          <w:szCs w:val="24"/>
        </w:rPr>
      </w:pPr>
      <w:r>
        <w:rPr>
          <w:rFonts w:ascii="Times New Roman" w:hAnsi="Times New Roman" w:cs="Times New Roman"/>
          <w:b/>
          <w:sz w:val="24"/>
          <w:szCs w:val="24"/>
        </w:rPr>
        <w:t>References:</w:t>
      </w:r>
    </w:p>
    <w:p w14:paraId="43B3185F" w14:textId="7B5E7112" w:rsidR="00A617EC" w:rsidRPr="00A617EC" w:rsidRDefault="00A617EC" w:rsidP="00A617EC">
      <w:pPr>
        <w:pStyle w:val="PlainText"/>
        <w:rPr>
          <w:rFonts w:ascii="Times New Roman" w:hAnsi="Times New Roman" w:cs="Times New Roman"/>
          <w:bCs/>
          <w:sz w:val="24"/>
          <w:szCs w:val="24"/>
        </w:rPr>
      </w:pPr>
      <w:r w:rsidRPr="00A617EC">
        <w:rPr>
          <w:rFonts w:ascii="Times New Roman" w:hAnsi="Times New Roman" w:cs="Times New Roman"/>
          <w:bCs/>
          <w:sz w:val="24"/>
          <w:szCs w:val="24"/>
        </w:rPr>
        <w:t xml:space="preserve">Harnish, R., Ham, K., &amp; Mueller, R. (2024). </w:t>
      </w:r>
      <w:r w:rsidRPr="00A617EC">
        <w:rPr>
          <w:rFonts w:ascii="Times New Roman" w:hAnsi="Times New Roman" w:cs="Times New Roman"/>
          <w:bCs/>
          <w:i/>
          <w:iCs/>
          <w:sz w:val="24"/>
          <w:szCs w:val="24"/>
        </w:rPr>
        <w:t xml:space="preserve">Study Design and Implementation Plan for Bonneville Dam Powerhouse 2 </w:t>
      </w:r>
      <w:proofErr w:type="spellStart"/>
      <w:r w:rsidRPr="00A617EC">
        <w:rPr>
          <w:rFonts w:ascii="Times New Roman" w:hAnsi="Times New Roman" w:cs="Times New Roman"/>
          <w:bCs/>
          <w:i/>
          <w:iCs/>
          <w:sz w:val="24"/>
          <w:szCs w:val="24"/>
        </w:rPr>
        <w:t>Gatewell</w:t>
      </w:r>
      <w:proofErr w:type="spellEnd"/>
      <w:r w:rsidRPr="00A617EC">
        <w:rPr>
          <w:rFonts w:ascii="Times New Roman" w:hAnsi="Times New Roman" w:cs="Times New Roman"/>
          <w:bCs/>
          <w:i/>
          <w:iCs/>
          <w:sz w:val="24"/>
          <w:szCs w:val="24"/>
        </w:rPr>
        <w:t xml:space="preserve"> Improvement Post Construction Evaluation Draft Report</w:t>
      </w:r>
      <w:r w:rsidRPr="00A617EC">
        <w:rPr>
          <w:rFonts w:ascii="Times New Roman" w:hAnsi="Times New Roman" w:cs="Times New Roman"/>
          <w:bCs/>
          <w:sz w:val="24"/>
          <w:szCs w:val="24"/>
        </w:rPr>
        <w:t>. Pacific Northwest National Laboratory Prepared for United States Department of Energy under Contract DE-AC05-76RL01830.</w:t>
      </w:r>
    </w:p>
    <w:p w14:paraId="13964C06" w14:textId="3B879790" w:rsidR="00A617EC" w:rsidRDefault="00A617EC" w:rsidP="00B43BDE">
      <w:pPr>
        <w:pStyle w:val="PlainText"/>
        <w:rPr>
          <w:rFonts w:ascii="Times New Roman" w:hAnsi="Times New Roman" w:cs="Times New Roman"/>
          <w:b/>
          <w:sz w:val="24"/>
          <w:szCs w:val="24"/>
        </w:rPr>
      </w:pPr>
    </w:p>
    <w:p w14:paraId="7068B129" w14:textId="7145A436" w:rsidR="00A617EC" w:rsidRDefault="00A617EC" w:rsidP="00B43BDE">
      <w:pPr>
        <w:pStyle w:val="PlainText"/>
        <w:rPr>
          <w:rFonts w:ascii="Times New Roman" w:hAnsi="Times New Roman" w:cs="Times New Roman"/>
          <w:color w:val="000000"/>
          <w:sz w:val="24"/>
          <w:szCs w:val="24"/>
          <w:shd w:val="clear" w:color="auto" w:fill="FFFFFF"/>
        </w:rPr>
      </w:pPr>
      <w:r w:rsidRPr="00A617EC">
        <w:rPr>
          <w:rFonts w:ascii="Times New Roman" w:hAnsi="Times New Roman" w:cs="Times New Roman"/>
          <w:color w:val="000000"/>
          <w:sz w:val="24"/>
          <w:szCs w:val="24"/>
          <w:shd w:val="clear" w:color="auto" w:fill="FFFFFF"/>
        </w:rPr>
        <w:t xml:space="preserve">Columbia River DART, Columbia Basin Research, University of Washington. (2024). Adult Passage Counts Graphics &amp; Text. Available from </w:t>
      </w:r>
      <w:r w:rsidRPr="00781813">
        <w:rPr>
          <w:rFonts w:ascii="Times New Roman" w:hAnsi="Times New Roman" w:cs="Times New Roman"/>
          <w:color w:val="000000"/>
          <w:sz w:val="24"/>
          <w:szCs w:val="24"/>
          <w:shd w:val="clear" w:color="auto" w:fill="FFFFFF"/>
        </w:rPr>
        <w:t>https://www.cbr.washington.edu/dart/query/adult_graph_text</w:t>
      </w:r>
    </w:p>
    <w:p w14:paraId="16D53BA2" w14:textId="77777777" w:rsidR="00781813" w:rsidRDefault="00781813" w:rsidP="00B43BDE">
      <w:pPr>
        <w:pStyle w:val="PlainText"/>
        <w:rPr>
          <w:rFonts w:ascii="Times New Roman" w:hAnsi="Times New Roman" w:cs="Times New Roman"/>
          <w:color w:val="000000"/>
          <w:sz w:val="24"/>
          <w:szCs w:val="24"/>
          <w:shd w:val="clear" w:color="auto" w:fill="FFFFFF"/>
        </w:rPr>
      </w:pPr>
    </w:p>
    <w:p w14:paraId="5678AC56" w14:textId="2FD259CA" w:rsidR="00781813" w:rsidRPr="00A617EC" w:rsidRDefault="00781813" w:rsidP="00B43BDE">
      <w:pPr>
        <w:pStyle w:val="PlainTex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Fish Passage Center, FPC (2024). FPC Smolt Monitoring Program Data. Cumulative Passage Index with Average Run Timing for Past Years. Available from </w:t>
      </w:r>
      <w:r w:rsidRPr="00781813">
        <w:rPr>
          <w:rFonts w:ascii="Times New Roman" w:hAnsi="Times New Roman" w:cs="Times New Roman"/>
          <w:color w:val="000000"/>
          <w:sz w:val="24"/>
          <w:szCs w:val="24"/>
          <w:shd w:val="clear" w:color="auto" w:fill="FFFFFF"/>
        </w:rPr>
        <w:t>https://www.fpc.org/smolt/smolt_queries/Q_smolt_cumulativepassindex_dataquery.php</w:t>
      </w:r>
      <w:r>
        <w:rPr>
          <w:rFonts w:ascii="Times New Roman" w:hAnsi="Times New Roman" w:cs="Times New Roman"/>
          <w:color w:val="000000"/>
          <w:sz w:val="24"/>
          <w:szCs w:val="24"/>
          <w:shd w:val="clear" w:color="auto" w:fill="FFFFFF"/>
        </w:rPr>
        <w:t xml:space="preserve"> </w:t>
      </w:r>
    </w:p>
    <w:p w14:paraId="48369D29" w14:textId="77777777" w:rsidR="00F2390B" w:rsidRDefault="00F2390B" w:rsidP="00B43BDE">
      <w:pPr>
        <w:pStyle w:val="PlainText"/>
        <w:rPr>
          <w:rFonts w:ascii="Times New Roman" w:hAnsi="Times New Roman" w:cs="Times New Roman"/>
          <w:b/>
          <w:sz w:val="24"/>
          <w:szCs w:val="24"/>
        </w:rPr>
      </w:pPr>
    </w:p>
    <w:p w14:paraId="53AA2ED7" w14:textId="085D2156" w:rsidR="00B001E0" w:rsidRPr="00B001E0" w:rsidRDefault="00B001E0" w:rsidP="00B43BDE">
      <w:pPr>
        <w:pStyle w:val="PlainText"/>
        <w:rPr>
          <w:rFonts w:ascii="Times New Roman" w:hAnsi="Times New Roman" w:cs="Times New Roman"/>
          <w:bCs/>
          <w:sz w:val="24"/>
          <w:szCs w:val="24"/>
        </w:rPr>
      </w:pPr>
      <w:r>
        <w:rPr>
          <w:rFonts w:ascii="Times New Roman" w:hAnsi="Times New Roman" w:cs="Times New Roman"/>
          <w:bCs/>
          <w:sz w:val="24"/>
          <w:szCs w:val="24"/>
        </w:rPr>
        <w:t xml:space="preserve">Washington Dept. of Fish and Wildlife (2024). WDFW. 2024 Forecast and Model Runs. Columbia River forecasts accessed at </w:t>
      </w:r>
      <w:proofErr w:type="gramStart"/>
      <w:r w:rsidRPr="00B001E0">
        <w:rPr>
          <w:rFonts w:ascii="Times New Roman" w:hAnsi="Times New Roman" w:cs="Times New Roman"/>
          <w:bCs/>
          <w:sz w:val="24"/>
          <w:szCs w:val="24"/>
        </w:rPr>
        <w:t>https://wdfw.wa.gov/fishing/management/north-falcon/forecasts</w:t>
      </w:r>
      <w:proofErr w:type="gramEnd"/>
      <w:r>
        <w:rPr>
          <w:rFonts w:ascii="Times New Roman" w:hAnsi="Times New Roman" w:cs="Times New Roman"/>
          <w:bCs/>
          <w:sz w:val="24"/>
          <w:szCs w:val="24"/>
        </w:rPr>
        <w:t xml:space="preserve"> </w:t>
      </w:r>
    </w:p>
    <w:p w14:paraId="1D3117A9" w14:textId="77777777" w:rsidR="00781813" w:rsidRDefault="00781813" w:rsidP="00B43BDE">
      <w:pPr>
        <w:pStyle w:val="PlainText"/>
        <w:rPr>
          <w:rFonts w:ascii="Times New Roman" w:hAnsi="Times New Roman" w:cs="Times New Roman"/>
          <w:b/>
          <w:sz w:val="24"/>
          <w:szCs w:val="24"/>
        </w:rPr>
      </w:pPr>
    </w:p>
    <w:p w14:paraId="723803C2" w14:textId="77777777"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69F52FD2" w14:textId="77777777" w:rsidR="00EB3991" w:rsidRPr="000E317F" w:rsidRDefault="00EB3991" w:rsidP="00B43BDE">
      <w:pPr>
        <w:pStyle w:val="PlainText"/>
        <w:rPr>
          <w:rFonts w:ascii="Times New Roman" w:hAnsi="Times New Roman" w:cs="Times New Roman"/>
          <w:b/>
          <w:sz w:val="24"/>
          <w:szCs w:val="24"/>
        </w:rPr>
      </w:pPr>
    </w:p>
    <w:p w14:paraId="7E387F59"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Final </w:t>
      </w:r>
      <w:r w:rsidR="00AF756B">
        <w:rPr>
          <w:rFonts w:ascii="Times New Roman" w:hAnsi="Times New Roman" w:cs="Times New Roman"/>
          <w:b/>
          <w:sz w:val="24"/>
          <w:szCs w:val="24"/>
        </w:rPr>
        <w:t xml:space="preserve">coordination </w:t>
      </w:r>
      <w:r w:rsidRPr="000E317F">
        <w:rPr>
          <w:rFonts w:ascii="Times New Roman" w:hAnsi="Times New Roman" w:cs="Times New Roman"/>
          <w:b/>
          <w:sz w:val="24"/>
          <w:szCs w:val="24"/>
        </w:rPr>
        <w:t>results</w:t>
      </w:r>
    </w:p>
    <w:p w14:paraId="587A8765" w14:textId="77777777" w:rsidR="009827E8" w:rsidRPr="000E317F" w:rsidRDefault="009827E8" w:rsidP="009827E8">
      <w:pPr>
        <w:autoSpaceDE w:val="0"/>
        <w:autoSpaceDN w:val="0"/>
        <w:adjustRightInd w:val="0"/>
        <w:rPr>
          <w:b/>
        </w:rPr>
      </w:pPr>
    </w:p>
    <w:p w14:paraId="6FA91683" w14:textId="77777777" w:rsidR="00AF756B" w:rsidRDefault="00AF756B" w:rsidP="009827E8">
      <w:pPr>
        <w:autoSpaceDE w:val="0"/>
        <w:autoSpaceDN w:val="0"/>
        <w:adjustRightInd w:val="0"/>
      </w:pPr>
    </w:p>
    <w:p w14:paraId="44D1A437" w14:textId="77777777" w:rsidR="00AF756B" w:rsidRDefault="00AF756B" w:rsidP="009827E8">
      <w:pPr>
        <w:autoSpaceDE w:val="0"/>
        <w:autoSpaceDN w:val="0"/>
        <w:adjustRightInd w:val="0"/>
        <w:rPr>
          <w:b/>
        </w:rPr>
      </w:pPr>
      <w:r>
        <w:rPr>
          <w:b/>
        </w:rPr>
        <w:t xml:space="preserve">After Action update </w:t>
      </w:r>
      <w:r w:rsidRPr="00243D4D">
        <w:rPr>
          <w:color w:val="BFBFBF"/>
        </w:rPr>
        <w:t xml:space="preserve">(After action statement stating what the effect of the action was on listed species. This statement could simply state that the MOC analysis was </w:t>
      </w:r>
      <w:proofErr w:type="gramStart"/>
      <w:r w:rsidRPr="00243D4D">
        <w:rPr>
          <w:color w:val="BFBFBF"/>
        </w:rPr>
        <w:t>correct</w:t>
      </w:r>
      <w:proofErr w:type="gramEnd"/>
      <w:r w:rsidRPr="00243D4D">
        <w:rPr>
          <w:color w:val="BFBFBF"/>
        </w:rPr>
        <w:t xml:space="preserve"> and the action went as expected, or it could explain how the actual action changed the expected effect (e.g., you didn’t need to close that AWS valve after all, so there was no impact of the action).  List any actual mortality noted </w:t>
      </w:r>
      <w:proofErr w:type="gramStart"/>
      <w:r w:rsidRPr="00243D4D">
        <w:rPr>
          <w:color w:val="BFBFBF"/>
        </w:rPr>
        <w:t>as a result of</w:t>
      </w:r>
      <w:proofErr w:type="gramEnd"/>
      <w:r w:rsidRPr="00243D4D">
        <w:rPr>
          <w:color w:val="BFBFBF"/>
        </w:rPr>
        <w:t xml:space="preserve"> the action)</w:t>
      </w:r>
    </w:p>
    <w:p w14:paraId="399598F0" w14:textId="77777777" w:rsidR="00AF756B" w:rsidRDefault="00AF756B" w:rsidP="009827E8">
      <w:pPr>
        <w:autoSpaceDE w:val="0"/>
        <w:autoSpaceDN w:val="0"/>
        <w:adjustRightInd w:val="0"/>
        <w:rPr>
          <w:b/>
        </w:rPr>
      </w:pPr>
    </w:p>
    <w:p w14:paraId="3B19098D" w14:textId="77777777" w:rsidR="00AF756B" w:rsidRPr="00243D4D" w:rsidRDefault="00AF756B" w:rsidP="009827E8">
      <w:pPr>
        <w:autoSpaceDE w:val="0"/>
        <w:autoSpaceDN w:val="0"/>
        <w:adjustRightInd w:val="0"/>
        <w:rPr>
          <w:b/>
        </w:rPr>
      </w:pPr>
    </w:p>
    <w:p w14:paraId="4A90424F" w14:textId="77777777" w:rsidR="009827E8" w:rsidRPr="000E317F" w:rsidRDefault="00B11232" w:rsidP="009827E8">
      <w:pPr>
        <w:autoSpaceDE w:val="0"/>
        <w:autoSpaceDN w:val="0"/>
        <w:adjustRightInd w:val="0"/>
      </w:pPr>
      <w:r w:rsidRPr="000E317F">
        <w:t>Please email or call with questions or concerns.</w:t>
      </w:r>
    </w:p>
    <w:p w14:paraId="1B4CB39B" w14:textId="77777777" w:rsidR="00B11232" w:rsidRDefault="00B11232" w:rsidP="009827E8">
      <w:pPr>
        <w:autoSpaceDE w:val="0"/>
        <w:autoSpaceDN w:val="0"/>
        <w:adjustRightInd w:val="0"/>
      </w:pPr>
      <w:r w:rsidRPr="000E317F">
        <w:t xml:space="preserve">Thank you, </w:t>
      </w:r>
    </w:p>
    <w:p w14:paraId="1867D7C9" w14:textId="77777777" w:rsidR="00F37202" w:rsidRDefault="00F37202" w:rsidP="009827E8">
      <w:pPr>
        <w:autoSpaceDE w:val="0"/>
        <w:autoSpaceDN w:val="0"/>
        <w:adjustRightInd w:val="0"/>
      </w:pPr>
    </w:p>
    <w:p w14:paraId="121427B1" w14:textId="544B98CF" w:rsidR="00F37202" w:rsidRPr="00F37202" w:rsidRDefault="00F37202" w:rsidP="009827E8">
      <w:pPr>
        <w:autoSpaceDE w:val="0"/>
        <w:autoSpaceDN w:val="0"/>
        <w:adjustRightInd w:val="0"/>
        <w:rPr>
          <w:b/>
          <w:bCs/>
          <w:sz w:val="20"/>
          <w:szCs w:val="20"/>
        </w:rPr>
      </w:pPr>
      <w:r w:rsidRPr="00F37202">
        <w:rPr>
          <w:b/>
          <w:bCs/>
          <w:sz w:val="20"/>
          <w:szCs w:val="20"/>
        </w:rPr>
        <w:t>Rebecca Cates</w:t>
      </w:r>
    </w:p>
    <w:p w14:paraId="6781C013" w14:textId="76A023AF" w:rsidR="00F37202" w:rsidRDefault="00F37202" w:rsidP="009827E8">
      <w:pPr>
        <w:autoSpaceDE w:val="0"/>
        <w:autoSpaceDN w:val="0"/>
        <w:adjustRightInd w:val="0"/>
        <w:rPr>
          <w:sz w:val="20"/>
          <w:szCs w:val="20"/>
        </w:rPr>
      </w:pPr>
      <w:r>
        <w:rPr>
          <w:sz w:val="20"/>
          <w:szCs w:val="20"/>
        </w:rPr>
        <w:t>Fish Passage Section</w:t>
      </w:r>
    </w:p>
    <w:p w14:paraId="372CFA78" w14:textId="66122460" w:rsidR="00F37202" w:rsidRDefault="00F37202" w:rsidP="009827E8">
      <w:pPr>
        <w:autoSpaceDE w:val="0"/>
        <w:autoSpaceDN w:val="0"/>
        <w:adjustRightInd w:val="0"/>
        <w:rPr>
          <w:sz w:val="20"/>
          <w:szCs w:val="20"/>
        </w:rPr>
      </w:pPr>
      <w:r>
        <w:rPr>
          <w:sz w:val="20"/>
          <w:szCs w:val="20"/>
        </w:rPr>
        <w:t>503-808-4738</w:t>
      </w:r>
    </w:p>
    <w:p w14:paraId="698CCBAD" w14:textId="6685AD83" w:rsidR="00F37202" w:rsidRPr="00F37202" w:rsidRDefault="00F37202" w:rsidP="009827E8">
      <w:pPr>
        <w:autoSpaceDE w:val="0"/>
        <w:autoSpaceDN w:val="0"/>
        <w:adjustRightInd w:val="0"/>
        <w:rPr>
          <w:sz w:val="20"/>
          <w:szCs w:val="20"/>
        </w:rPr>
      </w:pPr>
      <w:r>
        <w:rPr>
          <w:sz w:val="20"/>
          <w:szCs w:val="20"/>
        </w:rPr>
        <w:t>Rebecca.I.Cates@usace.army.mil</w:t>
      </w:r>
    </w:p>
    <w:p w14:paraId="53A9EA1E" w14:textId="107A07DA" w:rsidR="0099716B" w:rsidRDefault="0099716B" w:rsidP="009827E8">
      <w:pPr>
        <w:autoSpaceDE w:val="0"/>
        <w:autoSpaceDN w:val="0"/>
        <w:adjustRightInd w:val="0"/>
      </w:pPr>
    </w:p>
    <w:p w14:paraId="79F45619" w14:textId="521F3B70" w:rsidR="0045529D" w:rsidRPr="004D4165" w:rsidRDefault="00F37202" w:rsidP="0045529D">
      <w:pPr>
        <w:autoSpaceDE w:val="0"/>
        <w:autoSpaceDN w:val="0"/>
        <w:adjustRightInd w:val="0"/>
        <w:rPr>
          <w:b/>
          <w:bCs/>
          <w:sz w:val="20"/>
          <w:szCs w:val="20"/>
        </w:rPr>
      </w:pPr>
      <w:r>
        <w:rPr>
          <w:b/>
          <w:bCs/>
          <w:sz w:val="20"/>
          <w:szCs w:val="20"/>
        </w:rPr>
        <w:t>Patricia Madson</w:t>
      </w:r>
    </w:p>
    <w:p w14:paraId="2D97EBE7" w14:textId="57B838F7" w:rsidR="0045529D" w:rsidRDefault="0045529D" w:rsidP="0045529D">
      <w:pPr>
        <w:autoSpaceDE w:val="0"/>
        <w:autoSpaceDN w:val="0"/>
        <w:adjustRightInd w:val="0"/>
        <w:rPr>
          <w:sz w:val="20"/>
          <w:szCs w:val="20"/>
        </w:rPr>
      </w:pPr>
      <w:r w:rsidRPr="004D4165">
        <w:rPr>
          <w:sz w:val="20"/>
          <w:szCs w:val="20"/>
        </w:rPr>
        <w:t xml:space="preserve">NWP </w:t>
      </w:r>
      <w:r w:rsidR="00F37202">
        <w:rPr>
          <w:sz w:val="20"/>
          <w:szCs w:val="20"/>
        </w:rPr>
        <w:t>Columbia River Coordinator</w:t>
      </w:r>
    </w:p>
    <w:p w14:paraId="3841C945" w14:textId="29F473F7" w:rsidR="0045529D" w:rsidRDefault="0045529D" w:rsidP="0045529D">
      <w:pPr>
        <w:autoSpaceDE w:val="0"/>
        <w:autoSpaceDN w:val="0"/>
        <w:adjustRightInd w:val="0"/>
        <w:rPr>
          <w:sz w:val="20"/>
          <w:szCs w:val="20"/>
        </w:rPr>
      </w:pPr>
      <w:r w:rsidRPr="004D4165">
        <w:rPr>
          <w:sz w:val="20"/>
          <w:szCs w:val="20"/>
        </w:rPr>
        <w:t>5</w:t>
      </w:r>
      <w:r w:rsidR="00F37202">
        <w:rPr>
          <w:sz w:val="20"/>
          <w:szCs w:val="20"/>
        </w:rPr>
        <w:t>41-374-3655</w:t>
      </w:r>
      <w:r w:rsidRPr="004D4165">
        <w:rPr>
          <w:sz w:val="20"/>
          <w:szCs w:val="20"/>
        </w:rPr>
        <w:t xml:space="preserve">  </w:t>
      </w:r>
    </w:p>
    <w:p w14:paraId="4ED3396D" w14:textId="541C2DD2" w:rsidR="0045529D" w:rsidRDefault="00F37202" w:rsidP="0045529D">
      <w:pPr>
        <w:shd w:val="clear" w:color="auto" w:fill="FFFFFF"/>
        <w:spacing w:line="255" w:lineRule="atLeast"/>
        <w:rPr>
          <w:sz w:val="20"/>
          <w:szCs w:val="20"/>
        </w:rPr>
      </w:pPr>
      <w:r>
        <w:rPr>
          <w:sz w:val="20"/>
          <w:szCs w:val="20"/>
        </w:rPr>
        <w:t>Patricia.L.Madson</w:t>
      </w:r>
      <w:r w:rsidR="0045529D" w:rsidRPr="004D4165">
        <w:rPr>
          <w:sz w:val="20"/>
          <w:szCs w:val="20"/>
        </w:rPr>
        <w:t xml:space="preserve">@usace.army.mil  </w:t>
      </w:r>
    </w:p>
    <w:p w14:paraId="348C004D" w14:textId="77777777" w:rsidR="0045529D" w:rsidRPr="000E317F" w:rsidRDefault="0045529D" w:rsidP="009827E8">
      <w:pPr>
        <w:autoSpaceDE w:val="0"/>
        <w:autoSpaceDN w:val="0"/>
        <w:adjustRightInd w:val="0"/>
      </w:pPr>
    </w:p>
    <w:sectPr w:rsidR="0045529D" w:rsidRPr="000E317F" w:rsidSect="00342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38B"/>
    <w:multiLevelType w:val="hybridMultilevel"/>
    <w:tmpl w:val="20408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E45E1"/>
    <w:multiLevelType w:val="hybridMultilevel"/>
    <w:tmpl w:val="24064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4"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4767095">
    <w:abstractNumId w:val="3"/>
  </w:num>
  <w:num w:numId="2" w16cid:durableId="246229557">
    <w:abstractNumId w:val="4"/>
  </w:num>
  <w:num w:numId="3" w16cid:durableId="872380675">
    <w:abstractNumId w:val="2"/>
  </w:num>
  <w:num w:numId="4" w16cid:durableId="1673679330">
    <w:abstractNumId w:val="0"/>
  </w:num>
  <w:num w:numId="5" w16cid:durableId="185895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0510C"/>
    <w:rsid w:val="000156B2"/>
    <w:rsid w:val="000255AC"/>
    <w:rsid w:val="00055007"/>
    <w:rsid w:val="000B14E6"/>
    <w:rsid w:val="000C2620"/>
    <w:rsid w:val="000C2ABD"/>
    <w:rsid w:val="000D0353"/>
    <w:rsid w:val="000D2876"/>
    <w:rsid w:val="000D5EC9"/>
    <w:rsid w:val="000E317F"/>
    <w:rsid w:val="000F4D28"/>
    <w:rsid w:val="000F6A36"/>
    <w:rsid w:val="00120B79"/>
    <w:rsid w:val="00126A1C"/>
    <w:rsid w:val="00136535"/>
    <w:rsid w:val="001B7BDC"/>
    <w:rsid w:val="001C5FF1"/>
    <w:rsid w:val="001D473B"/>
    <w:rsid w:val="001E0814"/>
    <w:rsid w:val="001E7B00"/>
    <w:rsid w:val="00207DB8"/>
    <w:rsid w:val="00211711"/>
    <w:rsid w:val="00243D4D"/>
    <w:rsid w:val="0025287F"/>
    <w:rsid w:val="00260FB7"/>
    <w:rsid w:val="00262966"/>
    <w:rsid w:val="002A3590"/>
    <w:rsid w:val="002B6E92"/>
    <w:rsid w:val="002C43D4"/>
    <w:rsid w:val="002D36D9"/>
    <w:rsid w:val="002E6532"/>
    <w:rsid w:val="003005B4"/>
    <w:rsid w:val="00300617"/>
    <w:rsid w:val="00342A20"/>
    <w:rsid w:val="00373D1A"/>
    <w:rsid w:val="003B5413"/>
    <w:rsid w:val="003D172A"/>
    <w:rsid w:val="003E7488"/>
    <w:rsid w:val="00404B67"/>
    <w:rsid w:val="00446E9A"/>
    <w:rsid w:val="0045529D"/>
    <w:rsid w:val="004833C8"/>
    <w:rsid w:val="0049216A"/>
    <w:rsid w:val="004A1D8A"/>
    <w:rsid w:val="004E2E3A"/>
    <w:rsid w:val="00523234"/>
    <w:rsid w:val="005244C6"/>
    <w:rsid w:val="00545ACE"/>
    <w:rsid w:val="0056203F"/>
    <w:rsid w:val="005C3A61"/>
    <w:rsid w:val="005C439A"/>
    <w:rsid w:val="005D1A60"/>
    <w:rsid w:val="005E7E2B"/>
    <w:rsid w:val="00630699"/>
    <w:rsid w:val="00650248"/>
    <w:rsid w:val="00650AFF"/>
    <w:rsid w:val="0069722A"/>
    <w:rsid w:val="006E6DEA"/>
    <w:rsid w:val="006F05A4"/>
    <w:rsid w:val="007026F7"/>
    <w:rsid w:val="007047AF"/>
    <w:rsid w:val="00707EF5"/>
    <w:rsid w:val="00781813"/>
    <w:rsid w:val="00783E36"/>
    <w:rsid w:val="0078646D"/>
    <w:rsid w:val="007A45A2"/>
    <w:rsid w:val="007C04F4"/>
    <w:rsid w:val="007D50AD"/>
    <w:rsid w:val="007E190A"/>
    <w:rsid w:val="007E643E"/>
    <w:rsid w:val="00817626"/>
    <w:rsid w:val="00867ADC"/>
    <w:rsid w:val="008836DF"/>
    <w:rsid w:val="00883AB9"/>
    <w:rsid w:val="00890DC7"/>
    <w:rsid w:val="008B3F63"/>
    <w:rsid w:val="008C1B7B"/>
    <w:rsid w:val="008E7E55"/>
    <w:rsid w:val="00900D34"/>
    <w:rsid w:val="00933EB6"/>
    <w:rsid w:val="00980675"/>
    <w:rsid w:val="009827E8"/>
    <w:rsid w:val="0098360E"/>
    <w:rsid w:val="00992955"/>
    <w:rsid w:val="00993A1B"/>
    <w:rsid w:val="0099716B"/>
    <w:rsid w:val="009D7F2B"/>
    <w:rsid w:val="00A00F02"/>
    <w:rsid w:val="00A02463"/>
    <w:rsid w:val="00A11A36"/>
    <w:rsid w:val="00A5263D"/>
    <w:rsid w:val="00A617EC"/>
    <w:rsid w:val="00A769FA"/>
    <w:rsid w:val="00A86F41"/>
    <w:rsid w:val="00A87032"/>
    <w:rsid w:val="00AC467D"/>
    <w:rsid w:val="00AC75A9"/>
    <w:rsid w:val="00AE678B"/>
    <w:rsid w:val="00AF756B"/>
    <w:rsid w:val="00B001E0"/>
    <w:rsid w:val="00B01CC3"/>
    <w:rsid w:val="00B11232"/>
    <w:rsid w:val="00B22A61"/>
    <w:rsid w:val="00B4247A"/>
    <w:rsid w:val="00B43BDE"/>
    <w:rsid w:val="00B638B9"/>
    <w:rsid w:val="00B83661"/>
    <w:rsid w:val="00B8730E"/>
    <w:rsid w:val="00BA250F"/>
    <w:rsid w:val="00BD19AC"/>
    <w:rsid w:val="00BE5955"/>
    <w:rsid w:val="00BF15D9"/>
    <w:rsid w:val="00C54EED"/>
    <w:rsid w:val="00C63CCB"/>
    <w:rsid w:val="00C67FA5"/>
    <w:rsid w:val="00C8104A"/>
    <w:rsid w:val="00CA1C1D"/>
    <w:rsid w:val="00CB35E9"/>
    <w:rsid w:val="00CC0396"/>
    <w:rsid w:val="00CC14D0"/>
    <w:rsid w:val="00CC7D17"/>
    <w:rsid w:val="00CF019A"/>
    <w:rsid w:val="00D04B0A"/>
    <w:rsid w:val="00D11A5C"/>
    <w:rsid w:val="00D26B19"/>
    <w:rsid w:val="00DA250C"/>
    <w:rsid w:val="00DA44FD"/>
    <w:rsid w:val="00DB5678"/>
    <w:rsid w:val="00E06542"/>
    <w:rsid w:val="00E144C9"/>
    <w:rsid w:val="00E1640F"/>
    <w:rsid w:val="00E24F04"/>
    <w:rsid w:val="00E46FC1"/>
    <w:rsid w:val="00E57CA9"/>
    <w:rsid w:val="00E74804"/>
    <w:rsid w:val="00E948B1"/>
    <w:rsid w:val="00EB3991"/>
    <w:rsid w:val="00EB4121"/>
    <w:rsid w:val="00EB4F5D"/>
    <w:rsid w:val="00ED7682"/>
    <w:rsid w:val="00F07CB5"/>
    <w:rsid w:val="00F13728"/>
    <w:rsid w:val="00F218F4"/>
    <w:rsid w:val="00F2390B"/>
    <w:rsid w:val="00F27FC1"/>
    <w:rsid w:val="00F339DF"/>
    <w:rsid w:val="00F37202"/>
    <w:rsid w:val="00F43A29"/>
    <w:rsid w:val="00F523CA"/>
    <w:rsid w:val="00F842FF"/>
    <w:rsid w:val="00FA2C5E"/>
    <w:rsid w:val="00FB3CFE"/>
    <w:rsid w:val="00FB760A"/>
    <w:rsid w:val="00FC146C"/>
    <w:rsid w:val="00FC356C"/>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00D56"/>
  <w15:chartTrackingRefBased/>
  <w15:docId w15:val="{8C1FC26A-EBA8-4B5D-8FD3-99951D29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43BDE"/>
    <w:rPr>
      <w:rFonts w:ascii="Courier New" w:hAnsi="Courier New" w:cs="Courier New"/>
      <w:sz w:val="20"/>
      <w:szCs w:val="20"/>
    </w:rPr>
  </w:style>
  <w:style w:type="character" w:styleId="Hyperlink">
    <w:name w:val="Hyperlink"/>
    <w:uiPriority w:val="99"/>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paragraph" w:styleId="BodyText">
    <w:name w:val="Body Text"/>
    <w:basedOn w:val="Normal"/>
    <w:link w:val="BodyTextChar"/>
    <w:rsid w:val="000C2620"/>
    <w:pPr>
      <w:spacing w:after="120"/>
    </w:pPr>
  </w:style>
  <w:style w:type="character" w:customStyle="1" w:styleId="BodyTextChar">
    <w:name w:val="Body Text Char"/>
    <w:basedOn w:val="DefaultParagraphFont"/>
    <w:link w:val="BodyText"/>
    <w:rsid w:val="000C2620"/>
    <w:rPr>
      <w:sz w:val="24"/>
      <w:szCs w:val="24"/>
    </w:rPr>
  </w:style>
  <w:style w:type="character" w:styleId="CommentReference">
    <w:name w:val="annotation reference"/>
    <w:basedOn w:val="DefaultParagraphFont"/>
    <w:rsid w:val="002E6532"/>
    <w:rPr>
      <w:sz w:val="16"/>
      <w:szCs w:val="16"/>
    </w:rPr>
  </w:style>
  <w:style w:type="paragraph" w:styleId="CommentText">
    <w:name w:val="annotation text"/>
    <w:basedOn w:val="Normal"/>
    <w:link w:val="CommentTextChar"/>
    <w:rsid w:val="002E6532"/>
    <w:rPr>
      <w:sz w:val="20"/>
      <w:szCs w:val="20"/>
    </w:rPr>
  </w:style>
  <w:style w:type="character" w:customStyle="1" w:styleId="CommentTextChar">
    <w:name w:val="Comment Text Char"/>
    <w:basedOn w:val="DefaultParagraphFont"/>
    <w:link w:val="CommentText"/>
    <w:rsid w:val="002E6532"/>
  </w:style>
  <w:style w:type="paragraph" w:styleId="CommentSubject">
    <w:name w:val="annotation subject"/>
    <w:basedOn w:val="CommentText"/>
    <w:next w:val="CommentText"/>
    <w:link w:val="CommentSubjectChar"/>
    <w:rsid w:val="002E6532"/>
    <w:rPr>
      <w:b/>
      <w:bCs/>
    </w:rPr>
  </w:style>
  <w:style w:type="character" w:customStyle="1" w:styleId="CommentSubjectChar">
    <w:name w:val="Comment Subject Char"/>
    <w:basedOn w:val="CommentTextChar"/>
    <w:link w:val="CommentSubject"/>
    <w:rsid w:val="002E6532"/>
    <w:rPr>
      <w:b/>
      <w:bCs/>
    </w:rPr>
  </w:style>
  <w:style w:type="character" w:styleId="UnresolvedMention">
    <w:name w:val="Unresolved Mention"/>
    <w:basedOn w:val="DefaultParagraphFont"/>
    <w:uiPriority w:val="99"/>
    <w:semiHidden/>
    <w:unhideWhenUsed/>
    <w:rsid w:val="00A617EC"/>
    <w:rPr>
      <w:color w:val="605E5C"/>
      <w:shd w:val="clear" w:color="auto" w:fill="E1DFDD"/>
    </w:rPr>
  </w:style>
  <w:style w:type="paragraph" w:styleId="ListParagraph">
    <w:name w:val="List Paragraph"/>
    <w:basedOn w:val="Normal"/>
    <w:uiPriority w:val="34"/>
    <w:qFormat/>
    <w:rsid w:val="00EB4F5D"/>
    <w:pPr>
      <w:ind w:left="720"/>
      <w:contextualSpacing/>
    </w:pPr>
  </w:style>
  <w:style w:type="paragraph" w:styleId="Revision">
    <w:name w:val="Revision"/>
    <w:hidden/>
    <w:uiPriority w:val="99"/>
    <w:semiHidden/>
    <w:rsid w:val="004E2E3A"/>
    <w:rPr>
      <w:sz w:val="24"/>
      <w:szCs w:val="24"/>
    </w:rPr>
  </w:style>
  <w:style w:type="table" w:styleId="TableGrid">
    <w:name w:val="Table Grid"/>
    <w:basedOn w:val="TableNormal"/>
    <w:uiPriority w:val="39"/>
    <w:rsid w:val="00211711"/>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2319">
      <w:bodyDiv w:val="1"/>
      <w:marLeft w:val="0"/>
      <w:marRight w:val="0"/>
      <w:marTop w:val="0"/>
      <w:marBottom w:val="0"/>
      <w:divBdr>
        <w:top w:val="none" w:sz="0" w:space="0" w:color="auto"/>
        <w:left w:val="none" w:sz="0" w:space="0" w:color="auto"/>
        <w:bottom w:val="none" w:sz="0" w:space="0" w:color="auto"/>
        <w:right w:val="none" w:sz="0" w:space="0" w:color="auto"/>
      </w:divBdr>
      <w:divsChild>
        <w:div w:id="723528917">
          <w:marLeft w:val="480"/>
          <w:marRight w:val="0"/>
          <w:marTop w:val="0"/>
          <w:marBottom w:val="0"/>
          <w:divBdr>
            <w:top w:val="none" w:sz="0" w:space="0" w:color="auto"/>
            <w:left w:val="none" w:sz="0" w:space="0" w:color="auto"/>
            <w:bottom w:val="none" w:sz="0" w:space="0" w:color="auto"/>
            <w:right w:val="none" w:sz="0" w:space="0" w:color="auto"/>
          </w:divBdr>
          <w:divsChild>
            <w:div w:id="110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8057">
      <w:bodyDiv w:val="1"/>
      <w:marLeft w:val="0"/>
      <w:marRight w:val="0"/>
      <w:marTop w:val="0"/>
      <w:marBottom w:val="0"/>
      <w:divBdr>
        <w:top w:val="none" w:sz="0" w:space="0" w:color="auto"/>
        <w:left w:val="none" w:sz="0" w:space="0" w:color="auto"/>
        <w:bottom w:val="none" w:sz="0" w:space="0" w:color="auto"/>
        <w:right w:val="none" w:sz="0" w:space="0" w:color="auto"/>
      </w:divBdr>
    </w:div>
    <w:div w:id="1670670526">
      <w:bodyDiv w:val="1"/>
      <w:marLeft w:val="0"/>
      <w:marRight w:val="0"/>
      <w:marTop w:val="0"/>
      <w:marBottom w:val="0"/>
      <w:divBdr>
        <w:top w:val="none" w:sz="0" w:space="0" w:color="auto"/>
        <w:left w:val="none" w:sz="0" w:space="0" w:color="auto"/>
        <w:bottom w:val="none" w:sz="0" w:space="0" w:color="auto"/>
        <w:right w:val="none" w:sz="0" w:space="0" w:color="auto"/>
      </w:divBdr>
    </w:div>
    <w:div w:id="2046254245">
      <w:bodyDiv w:val="1"/>
      <w:marLeft w:val="0"/>
      <w:marRight w:val="0"/>
      <w:marTop w:val="0"/>
      <w:marBottom w:val="0"/>
      <w:divBdr>
        <w:top w:val="none" w:sz="0" w:space="0" w:color="auto"/>
        <w:left w:val="none" w:sz="0" w:space="0" w:color="auto"/>
        <w:bottom w:val="none" w:sz="0" w:space="0" w:color="auto"/>
        <w:right w:val="none" w:sz="0" w:space="0" w:color="auto"/>
      </w:divBdr>
    </w:div>
    <w:div w:id="2107262502">
      <w:bodyDiv w:val="1"/>
      <w:marLeft w:val="0"/>
      <w:marRight w:val="0"/>
      <w:marTop w:val="0"/>
      <w:marBottom w:val="0"/>
      <w:divBdr>
        <w:top w:val="none" w:sz="0" w:space="0" w:color="auto"/>
        <w:left w:val="none" w:sz="0" w:space="0" w:color="auto"/>
        <w:bottom w:val="none" w:sz="0" w:space="0" w:color="auto"/>
        <w:right w:val="none" w:sz="0" w:space="0" w:color="auto"/>
      </w:divBdr>
      <w:divsChild>
        <w:div w:id="1540776520">
          <w:marLeft w:val="480"/>
          <w:marRight w:val="0"/>
          <w:marTop w:val="0"/>
          <w:marBottom w:val="0"/>
          <w:divBdr>
            <w:top w:val="none" w:sz="0" w:space="0" w:color="auto"/>
            <w:left w:val="none" w:sz="0" w:space="0" w:color="auto"/>
            <w:bottom w:val="none" w:sz="0" w:space="0" w:color="auto"/>
            <w:right w:val="none" w:sz="0" w:space="0" w:color="auto"/>
          </w:divBdr>
          <w:divsChild>
            <w:div w:id="417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www.cbr.washington.edu/dart/query/smolt_hr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2PMERIC\Desktop\Travel\Huntsville%202024\adultmg_1710483352_418.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10-Year</a:t>
            </a:r>
            <a:r>
              <a:rPr lang="en-US" baseline="0">
                <a:solidFill>
                  <a:sysClr val="windowText" lastClr="000000"/>
                </a:solidFill>
              </a:rPr>
              <a:t> Average (2014-2023) Adult Fish Passage Counts During Period of Impact for Bonneville Lock &amp; Dam</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adultmg_1710483352_418!$B$2</c:f>
              <c:strCache>
                <c:ptCount val="1"/>
                <c:pt idx="0">
                  <c:v>Chinook</c:v>
                </c:pt>
              </c:strCache>
            </c:strRef>
          </c:tx>
          <c:spPr>
            <a:ln w="28575" cap="rnd">
              <a:solidFill>
                <a:schemeClr val="accent1"/>
              </a:solidFill>
              <a:round/>
            </a:ln>
            <a:effectLst/>
          </c:spPr>
          <c:marker>
            <c:symbol val="none"/>
          </c:marker>
          <c:cat>
            <c:numRef>
              <c:f>adultmg_1710483352_418!$A$3:$A$95</c:f>
              <c:numCache>
                <c:formatCode>d\-mmm</c:formatCode>
                <c:ptCount val="93"/>
                <c:pt idx="0">
                  <c:v>45402</c:v>
                </c:pt>
                <c:pt idx="1">
                  <c:v>45403</c:v>
                </c:pt>
                <c:pt idx="2">
                  <c:v>45404</c:v>
                </c:pt>
                <c:pt idx="3">
                  <c:v>45405</c:v>
                </c:pt>
                <c:pt idx="4">
                  <c:v>45406</c:v>
                </c:pt>
                <c:pt idx="5">
                  <c:v>45407</c:v>
                </c:pt>
                <c:pt idx="6">
                  <c:v>45408</c:v>
                </c:pt>
                <c:pt idx="7">
                  <c:v>45409</c:v>
                </c:pt>
                <c:pt idx="8">
                  <c:v>45410</c:v>
                </c:pt>
                <c:pt idx="9">
                  <c:v>45411</c:v>
                </c:pt>
                <c:pt idx="10">
                  <c:v>45412</c:v>
                </c:pt>
                <c:pt idx="11">
                  <c:v>45413</c:v>
                </c:pt>
                <c:pt idx="12">
                  <c:v>45414</c:v>
                </c:pt>
                <c:pt idx="13">
                  <c:v>45415</c:v>
                </c:pt>
                <c:pt idx="14">
                  <c:v>45416</c:v>
                </c:pt>
                <c:pt idx="15">
                  <c:v>45417</c:v>
                </c:pt>
                <c:pt idx="16">
                  <c:v>45418</c:v>
                </c:pt>
                <c:pt idx="17">
                  <c:v>45419</c:v>
                </c:pt>
                <c:pt idx="18">
                  <c:v>45420</c:v>
                </c:pt>
                <c:pt idx="19">
                  <c:v>45421</c:v>
                </c:pt>
                <c:pt idx="20">
                  <c:v>45422</c:v>
                </c:pt>
                <c:pt idx="21">
                  <c:v>45423</c:v>
                </c:pt>
                <c:pt idx="22">
                  <c:v>45424</c:v>
                </c:pt>
                <c:pt idx="23">
                  <c:v>45425</c:v>
                </c:pt>
                <c:pt idx="24">
                  <c:v>45426</c:v>
                </c:pt>
                <c:pt idx="25">
                  <c:v>45427</c:v>
                </c:pt>
                <c:pt idx="26">
                  <c:v>45428</c:v>
                </c:pt>
                <c:pt idx="27">
                  <c:v>45429</c:v>
                </c:pt>
                <c:pt idx="28">
                  <c:v>45430</c:v>
                </c:pt>
                <c:pt idx="29">
                  <c:v>45431</c:v>
                </c:pt>
                <c:pt idx="30">
                  <c:v>45432</c:v>
                </c:pt>
                <c:pt idx="31">
                  <c:v>45433</c:v>
                </c:pt>
                <c:pt idx="32">
                  <c:v>45434</c:v>
                </c:pt>
                <c:pt idx="33">
                  <c:v>45435</c:v>
                </c:pt>
                <c:pt idx="34">
                  <c:v>45436</c:v>
                </c:pt>
                <c:pt idx="35">
                  <c:v>45437</c:v>
                </c:pt>
                <c:pt idx="36">
                  <c:v>45438</c:v>
                </c:pt>
                <c:pt idx="37">
                  <c:v>45439</c:v>
                </c:pt>
                <c:pt idx="38">
                  <c:v>45440</c:v>
                </c:pt>
                <c:pt idx="39">
                  <c:v>45441</c:v>
                </c:pt>
                <c:pt idx="40">
                  <c:v>45442</c:v>
                </c:pt>
                <c:pt idx="41">
                  <c:v>45443</c:v>
                </c:pt>
                <c:pt idx="42">
                  <c:v>45444</c:v>
                </c:pt>
                <c:pt idx="43">
                  <c:v>45445</c:v>
                </c:pt>
                <c:pt idx="44">
                  <c:v>45446</c:v>
                </c:pt>
                <c:pt idx="45">
                  <c:v>45447</c:v>
                </c:pt>
                <c:pt idx="46">
                  <c:v>45448</c:v>
                </c:pt>
                <c:pt idx="47">
                  <c:v>45449</c:v>
                </c:pt>
                <c:pt idx="48">
                  <c:v>45450</c:v>
                </c:pt>
                <c:pt idx="49">
                  <c:v>45451</c:v>
                </c:pt>
                <c:pt idx="50">
                  <c:v>45452</c:v>
                </c:pt>
                <c:pt idx="51">
                  <c:v>45453</c:v>
                </c:pt>
                <c:pt idx="52">
                  <c:v>45454</c:v>
                </c:pt>
                <c:pt idx="53">
                  <c:v>45455</c:v>
                </c:pt>
                <c:pt idx="54">
                  <c:v>45456</c:v>
                </c:pt>
                <c:pt idx="55">
                  <c:v>45457</c:v>
                </c:pt>
                <c:pt idx="56">
                  <c:v>45458</c:v>
                </c:pt>
                <c:pt idx="57">
                  <c:v>45459</c:v>
                </c:pt>
                <c:pt idx="58">
                  <c:v>45460</c:v>
                </c:pt>
                <c:pt idx="59">
                  <c:v>45461</c:v>
                </c:pt>
                <c:pt idx="60">
                  <c:v>45462</c:v>
                </c:pt>
                <c:pt idx="61">
                  <c:v>45463</c:v>
                </c:pt>
                <c:pt idx="62">
                  <c:v>45464</c:v>
                </c:pt>
                <c:pt idx="63">
                  <c:v>45465</c:v>
                </c:pt>
                <c:pt idx="64">
                  <c:v>45466</c:v>
                </c:pt>
                <c:pt idx="65">
                  <c:v>45467</c:v>
                </c:pt>
                <c:pt idx="66">
                  <c:v>45468</c:v>
                </c:pt>
                <c:pt idx="67">
                  <c:v>45469</c:v>
                </c:pt>
                <c:pt idx="68">
                  <c:v>45470</c:v>
                </c:pt>
                <c:pt idx="69">
                  <c:v>45471</c:v>
                </c:pt>
                <c:pt idx="70">
                  <c:v>45472</c:v>
                </c:pt>
                <c:pt idx="71">
                  <c:v>45473</c:v>
                </c:pt>
                <c:pt idx="72">
                  <c:v>45474</c:v>
                </c:pt>
                <c:pt idx="73">
                  <c:v>45475</c:v>
                </c:pt>
                <c:pt idx="74">
                  <c:v>45476</c:v>
                </c:pt>
                <c:pt idx="75">
                  <c:v>45477</c:v>
                </c:pt>
                <c:pt idx="76">
                  <c:v>45478</c:v>
                </c:pt>
                <c:pt idx="77">
                  <c:v>45479</c:v>
                </c:pt>
                <c:pt idx="78">
                  <c:v>45480</c:v>
                </c:pt>
                <c:pt idx="79">
                  <c:v>45481</c:v>
                </c:pt>
                <c:pt idx="80">
                  <c:v>45482</c:v>
                </c:pt>
                <c:pt idx="81">
                  <c:v>45483</c:v>
                </c:pt>
                <c:pt idx="82">
                  <c:v>45484</c:v>
                </c:pt>
                <c:pt idx="83">
                  <c:v>45485</c:v>
                </c:pt>
                <c:pt idx="84">
                  <c:v>45486</c:v>
                </c:pt>
                <c:pt idx="85">
                  <c:v>45487</c:v>
                </c:pt>
                <c:pt idx="86">
                  <c:v>45488</c:v>
                </c:pt>
                <c:pt idx="87">
                  <c:v>45489</c:v>
                </c:pt>
                <c:pt idx="88">
                  <c:v>45490</c:v>
                </c:pt>
                <c:pt idx="89">
                  <c:v>45491</c:v>
                </c:pt>
                <c:pt idx="90">
                  <c:v>45492</c:v>
                </c:pt>
                <c:pt idx="91">
                  <c:v>45493</c:v>
                </c:pt>
              </c:numCache>
            </c:numRef>
          </c:cat>
          <c:val>
            <c:numRef>
              <c:f>adultmg_1710483352_418!$B$3:$B$95</c:f>
              <c:numCache>
                <c:formatCode>General</c:formatCode>
                <c:ptCount val="93"/>
                <c:pt idx="0">
                  <c:v>1774.1</c:v>
                </c:pt>
                <c:pt idx="1">
                  <c:v>1337.3</c:v>
                </c:pt>
                <c:pt idx="2">
                  <c:v>1737.9</c:v>
                </c:pt>
                <c:pt idx="3">
                  <c:v>1314.8</c:v>
                </c:pt>
                <c:pt idx="4">
                  <c:v>1566.8</c:v>
                </c:pt>
                <c:pt idx="5">
                  <c:v>1556.7</c:v>
                </c:pt>
                <c:pt idx="6">
                  <c:v>2315.6999999999998</c:v>
                </c:pt>
                <c:pt idx="7">
                  <c:v>2246.1999999999998</c:v>
                </c:pt>
                <c:pt idx="8">
                  <c:v>4292.1000000000004</c:v>
                </c:pt>
                <c:pt idx="9">
                  <c:v>4233.7</c:v>
                </c:pt>
                <c:pt idx="10">
                  <c:v>5410.8</c:v>
                </c:pt>
                <c:pt idx="11">
                  <c:v>4851.8999999999996</c:v>
                </c:pt>
                <c:pt idx="12">
                  <c:v>4663.8</c:v>
                </c:pt>
                <c:pt idx="13">
                  <c:v>4322.8</c:v>
                </c:pt>
                <c:pt idx="14">
                  <c:v>3973.6</c:v>
                </c:pt>
                <c:pt idx="15">
                  <c:v>3942.9</c:v>
                </c:pt>
                <c:pt idx="16">
                  <c:v>3518.1</c:v>
                </c:pt>
                <c:pt idx="17">
                  <c:v>3403.3</c:v>
                </c:pt>
                <c:pt idx="18">
                  <c:v>3132.6</c:v>
                </c:pt>
                <c:pt idx="19">
                  <c:v>2913.5</c:v>
                </c:pt>
                <c:pt idx="20">
                  <c:v>3003.6</c:v>
                </c:pt>
                <c:pt idx="21">
                  <c:v>3268.7</c:v>
                </c:pt>
                <c:pt idx="22">
                  <c:v>2781.7</c:v>
                </c:pt>
                <c:pt idx="23">
                  <c:v>2241.6999999999998</c:v>
                </c:pt>
                <c:pt idx="24">
                  <c:v>2317.1999999999998</c:v>
                </c:pt>
                <c:pt idx="25">
                  <c:v>2461.6</c:v>
                </c:pt>
                <c:pt idx="26">
                  <c:v>2674.5</c:v>
                </c:pt>
                <c:pt idx="27">
                  <c:v>2280.3000000000002</c:v>
                </c:pt>
                <c:pt idx="28">
                  <c:v>1858.8</c:v>
                </c:pt>
                <c:pt idx="29">
                  <c:v>1729.3</c:v>
                </c:pt>
                <c:pt idx="30">
                  <c:v>2025.7</c:v>
                </c:pt>
                <c:pt idx="31">
                  <c:v>2172.1999999999998</c:v>
                </c:pt>
                <c:pt idx="32">
                  <c:v>1911.4</c:v>
                </c:pt>
                <c:pt idx="33">
                  <c:v>2018.5</c:v>
                </c:pt>
                <c:pt idx="34">
                  <c:v>1860.2</c:v>
                </c:pt>
                <c:pt idx="35">
                  <c:v>1628.3</c:v>
                </c:pt>
                <c:pt idx="36">
                  <c:v>1696.2</c:v>
                </c:pt>
                <c:pt idx="37">
                  <c:v>1702.5</c:v>
                </c:pt>
                <c:pt idx="38">
                  <c:v>1504.9</c:v>
                </c:pt>
                <c:pt idx="39">
                  <c:v>1541.9</c:v>
                </c:pt>
                <c:pt idx="40">
                  <c:v>1522</c:v>
                </c:pt>
                <c:pt idx="41">
                  <c:v>1463.2</c:v>
                </c:pt>
                <c:pt idx="42">
                  <c:v>1630.4</c:v>
                </c:pt>
                <c:pt idx="43">
                  <c:v>1527.5</c:v>
                </c:pt>
                <c:pt idx="44">
                  <c:v>1610.8</c:v>
                </c:pt>
                <c:pt idx="45">
                  <c:v>1732.4</c:v>
                </c:pt>
                <c:pt idx="46">
                  <c:v>1621.9</c:v>
                </c:pt>
                <c:pt idx="47">
                  <c:v>1697.7</c:v>
                </c:pt>
                <c:pt idx="48">
                  <c:v>2031.9</c:v>
                </c:pt>
                <c:pt idx="49">
                  <c:v>1941.5</c:v>
                </c:pt>
                <c:pt idx="50">
                  <c:v>1961.2</c:v>
                </c:pt>
                <c:pt idx="51">
                  <c:v>2015</c:v>
                </c:pt>
                <c:pt idx="52">
                  <c:v>1903.8</c:v>
                </c:pt>
                <c:pt idx="53">
                  <c:v>1887.2</c:v>
                </c:pt>
                <c:pt idx="54">
                  <c:v>1927.4</c:v>
                </c:pt>
                <c:pt idx="55">
                  <c:v>2022.3</c:v>
                </c:pt>
                <c:pt idx="56">
                  <c:v>2087.1</c:v>
                </c:pt>
                <c:pt idx="57">
                  <c:v>2462</c:v>
                </c:pt>
                <c:pt idx="58">
                  <c:v>2234.8000000000002</c:v>
                </c:pt>
                <c:pt idx="59">
                  <c:v>2124.1999999999998</c:v>
                </c:pt>
                <c:pt idx="60">
                  <c:v>2007.2</c:v>
                </c:pt>
                <c:pt idx="61">
                  <c:v>2053.3000000000002</c:v>
                </c:pt>
                <c:pt idx="62">
                  <c:v>2300.9</c:v>
                </c:pt>
                <c:pt idx="63">
                  <c:v>2535.6999999999998</c:v>
                </c:pt>
                <c:pt idx="64">
                  <c:v>2566.6999999999998</c:v>
                </c:pt>
                <c:pt idx="65">
                  <c:v>2503.9</c:v>
                </c:pt>
                <c:pt idx="66">
                  <c:v>2574</c:v>
                </c:pt>
                <c:pt idx="67">
                  <c:v>2538.4</c:v>
                </c:pt>
                <c:pt idx="68">
                  <c:v>2415</c:v>
                </c:pt>
                <c:pt idx="69">
                  <c:v>2473.3000000000002</c:v>
                </c:pt>
                <c:pt idx="70">
                  <c:v>2214.4</c:v>
                </c:pt>
                <c:pt idx="71">
                  <c:v>2095.3000000000002</c:v>
                </c:pt>
                <c:pt idx="72">
                  <c:v>1772.2</c:v>
                </c:pt>
                <c:pt idx="73">
                  <c:v>1892.4</c:v>
                </c:pt>
                <c:pt idx="74">
                  <c:v>1750.2</c:v>
                </c:pt>
                <c:pt idx="75">
                  <c:v>1708.6</c:v>
                </c:pt>
                <c:pt idx="76">
                  <c:v>1599.5</c:v>
                </c:pt>
                <c:pt idx="77">
                  <c:v>1321.1</c:v>
                </c:pt>
                <c:pt idx="78">
                  <c:v>1330.5</c:v>
                </c:pt>
                <c:pt idx="79">
                  <c:v>1306.8</c:v>
                </c:pt>
                <c:pt idx="80">
                  <c:v>1203.3</c:v>
                </c:pt>
                <c:pt idx="81">
                  <c:v>1142.0999999999999</c:v>
                </c:pt>
                <c:pt idx="82">
                  <c:v>1040.0999999999999</c:v>
                </c:pt>
                <c:pt idx="83">
                  <c:v>971</c:v>
                </c:pt>
                <c:pt idx="84">
                  <c:v>1053.2</c:v>
                </c:pt>
                <c:pt idx="85">
                  <c:v>1106.0999999999999</c:v>
                </c:pt>
                <c:pt idx="86">
                  <c:v>1146.2</c:v>
                </c:pt>
                <c:pt idx="87">
                  <c:v>948.5</c:v>
                </c:pt>
                <c:pt idx="88">
                  <c:v>831</c:v>
                </c:pt>
                <c:pt idx="89">
                  <c:v>728</c:v>
                </c:pt>
                <c:pt idx="90">
                  <c:v>726</c:v>
                </c:pt>
                <c:pt idx="91">
                  <c:v>750</c:v>
                </c:pt>
              </c:numCache>
            </c:numRef>
          </c:val>
          <c:smooth val="0"/>
          <c:extLst>
            <c:ext xmlns:c16="http://schemas.microsoft.com/office/drawing/2014/chart" uri="{C3380CC4-5D6E-409C-BE32-E72D297353CC}">
              <c16:uniqueId val="{00000000-44CB-40BF-830B-A9BF4C21379E}"/>
            </c:ext>
          </c:extLst>
        </c:ser>
        <c:ser>
          <c:idx val="1"/>
          <c:order val="1"/>
          <c:tx>
            <c:strRef>
              <c:f>adultmg_1710483352_418!$C$2</c:f>
              <c:strCache>
                <c:ptCount val="1"/>
                <c:pt idx="0">
                  <c:v>Steelhead</c:v>
                </c:pt>
              </c:strCache>
            </c:strRef>
          </c:tx>
          <c:spPr>
            <a:ln w="28575" cap="rnd">
              <a:solidFill>
                <a:schemeClr val="accent2"/>
              </a:solidFill>
              <a:round/>
            </a:ln>
            <a:effectLst/>
          </c:spPr>
          <c:marker>
            <c:symbol val="none"/>
          </c:marker>
          <c:cat>
            <c:numRef>
              <c:f>adultmg_1710483352_418!$A$3:$A$95</c:f>
              <c:numCache>
                <c:formatCode>d\-mmm</c:formatCode>
                <c:ptCount val="93"/>
                <c:pt idx="0">
                  <c:v>45402</c:v>
                </c:pt>
                <c:pt idx="1">
                  <c:v>45403</c:v>
                </c:pt>
                <c:pt idx="2">
                  <c:v>45404</c:v>
                </c:pt>
                <c:pt idx="3">
                  <c:v>45405</c:v>
                </c:pt>
                <c:pt idx="4">
                  <c:v>45406</c:v>
                </c:pt>
                <c:pt idx="5">
                  <c:v>45407</c:v>
                </c:pt>
                <c:pt idx="6">
                  <c:v>45408</c:v>
                </c:pt>
                <c:pt idx="7">
                  <c:v>45409</c:v>
                </c:pt>
                <c:pt idx="8">
                  <c:v>45410</c:v>
                </c:pt>
                <c:pt idx="9">
                  <c:v>45411</c:v>
                </c:pt>
                <c:pt idx="10">
                  <c:v>45412</c:v>
                </c:pt>
                <c:pt idx="11">
                  <c:v>45413</c:v>
                </c:pt>
                <c:pt idx="12">
                  <c:v>45414</c:v>
                </c:pt>
                <c:pt idx="13">
                  <c:v>45415</c:v>
                </c:pt>
                <c:pt idx="14">
                  <c:v>45416</c:v>
                </c:pt>
                <c:pt idx="15">
                  <c:v>45417</c:v>
                </c:pt>
                <c:pt idx="16">
                  <c:v>45418</c:v>
                </c:pt>
                <c:pt idx="17">
                  <c:v>45419</c:v>
                </c:pt>
                <c:pt idx="18">
                  <c:v>45420</c:v>
                </c:pt>
                <c:pt idx="19">
                  <c:v>45421</c:v>
                </c:pt>
                <c:pt idx="20">
                  <c:v>45422</c:v>
                </c:pt>
                <c:pt idx="21">
                  <c:v>45423</c:v>
                </c:pt>
                <c:pt idx="22">
                  <c:v>45424</c:v>
                </c:pt>
                <c:pt idx="23">
                  <c:v>45425</c:v>
                </c:pt>
                <c:pt idx="24">
                  <c:v>45426</c:v>
                </c:pt>
                <c:pt idx="25">
                  <c:v>45427</c:v>
                </c:pt>
                <c:pt idx="26">
                  <c:v>45428</c:v>
                </c:pt>
                <c:pt idx="27">
                  <c:v>45429</c:v>
                </c:pt>
                <c:pt idx="28">
                  <c:v>45430</c:v>
                </c:pt>
                <c:pt idx="29">
                  <c:v>45431</c:v>
                </c:pt>
                <c:pt idx="30">
                  <c:v>45432</c:v>
                </c:pt>
                <c:pt idx="31">
                  <c:v>45433</c:v>
                </c:pt>
                <c:pt idx="32">
                  <c:v>45434</c:v>
                </c:pt>
                <c:pt idx="33">
                  <c:v>45435</c:v>
                </c:pt>
                <c:pt idx="34">
                  <c:v>45436</c:v>
                </c:pt>
                <c:pt idx="35">
                  <c:v>45437</c:v>
                </c:pt>
                <c:pt idx="36">
                  <c:v>45438</c:v>
                </c:pt>
                <c:pt idx="37">
                  <c:v>45439</c:v>
                </c:pt>
                <c:pt idx="38">
                  <c:v>45440</c:v>
                </c:pt>
                <c:pt idx="39">
                  <c:v>45441</c:v>
                </c:pt>
                <c:pt idx="40">
                  <c:v>45442</c:v>
                </c:pt>
                <c:pt idx="41">
                  <c:v>45443</c:v>
                </c:pt>
                <c:pt idx="42">
                  <c:v>45444</c:v>
                </c:pt>
                <c:pt idx="43">
                  <c:v>45445</c:v>
                </c:pt>
                <c:pt idx="44">
                  <c:v>45446</c:v>
                </c:pt>
                <c:pt idx="45">
                  <c:v>45447</c:v>
                </c:pt>
                <c:pt idx="46">
                  <c:v>45448</c:v>
                </c:pt>
                <c:pt idx="47">
                  <c:v>45449</c:v>
                </c:pt>
                <c:pt idx="48">
                  <c:v>45450</c:v>
                </c:pt>
                <c:pt idx="49">
                  <c:v>45451</c:v>
                </c:pt>
                <c:pt idx="50">
                  <c:v>45452</c:v>
                </c:pt>
                <c:pt idx="51">
                  <c:v>45453</c:v>
                </c:pt>
                <c:pt idx="52">
                  <c:v>45454</c:v>
                </c:pt>
                <c:pt idx="53">
                  <c:v>45455</c:v>
                </c:pt>
                <c:pt idx="54">
                  <c:v>45456</c:v>
                </c:pt>
                <c:pt idx="55">
                  <c:v>45457</c:v>
                </c:pt>
                <c:pt idx="56">
                  <c:v>45458</c:v>
                </c:pt>
                <c:pt idx="57">
                  <c:v>45459</c:v>
                </c:pt>
                <c:pt idx="58">
                  <c:v>45460</c:v>
                </c:pt>
                <c:pt idx="59">
                  <c:v>45461</c:v>
                </c:pt>
                <c:pt idx="60">
                  <c:v>45462</c:v>
                </c:pt>
                <c:pt idx="61">
                  <c:v>45463</c:v>
                </c:pt>
                <c:pt idx="62">
                  <c:v>45464</c:v>
                </c:pt>
                <c:pt idx="63">
                  <c:v>45465</c:v>
                </c:pt>
                <c:pt idx="64">
                  <c:v>45466</c:v>
                </c:pt>
                <c:pt idx="65">
                  <c:v>45467</c:v>
                </c:pt>
                <c:pt idx="66">
                  <c:v>45468</c:v>
                </c:pt>
                <c:pt idx="67">
                  <c:v>45469</c:v>
                </c:pt>
                <c:pt idx="68">
                  <c:v>45470</c:v>
                </c:pt>
                <c:pt idx="69">
                  <c:v>45471</c:v>
                </c:pt>
                <c:pt idx="70">
                  <c:v>45472</c:v>
                </c:pt>
                <c:pt idx="71">
                  <c:v>45473</c:v>
                </c:pt>
                <c:pt idx="72">
                  <c:v>45474</c:v>
                </c:pt>
                <c:pt idx="73">
                  <c:v>45475</c:v>
                </c:pt>
                <c:pt idx="74">
                  <c:v>45476</c:v>
                </c:pt>
                <c:pt idx="75">
                  <c:v>45477</c:v>
                </c:pt>
                <c:pt idx="76">
                  <c:v>45478</c:v>
                </c:pt>
                <c:pt idx="77">
                  <c:v>45479</c:v>
                </c:pt>
                <c:pt idx="78">
                  <c:v>45480</c:v>
                </c:pt>
                <c:pt idx="79">
                  <c:v>45481</c:v>
                </c:pt>
                <c:pt idx="80">
                  <c:v>45482</c:v>
                </c:pt>
                <c:pt idx="81">
                  <c:v>45483</c:v>
                </c:pt>
                <c:pt idx="82">
                  <c:v>45484</c:v>
                </c:pt>
                <c:pt idx="83">
                  <c:v>45485</c:v>
                </c:pt>
                <c:pt idx="84">
                  <c:v>45486</c:v>
                </c:pt>
                <c:pt idx="85">
                  <c:v>45487</c:v>
                </c:pt>
                <c:pt idx="86">
                  <c:v>45488</c:v>
                </c:pt>
                <c:pt idx="87">
                  <c:v>45489</c:v>
                </c:pt>
                <c:pt idx="88">
                  <c:v>45490</c:v>
                </c:pt>
                <c:pt idx="89">
                  <c:v>45491</c:v>
                </c:pt>
                <c:pt idx="90">
                  <c:v>45492</c:v>
                </c:pt>
                <c:pt idx="91">
                  <c:v>45493</c:v>
                </c:pt>
              </c:numCache>
            </c:numRef>
          </c:cat>
          <c:val>
            <c:numRef>
              <c:f>adultmg_1710483352_418!$C$3:$C$95</c:f>
              <c:numCache>
                <c:formatCode>General</c:formatCode>
                <c:ptCount val="93"/>
                <c:pt idx="0">
                  <c:v>16.600000000000001</c:v>
                </c:pt>
                <c:pt idx="1">
                  <c:v>18.100000000000001</c:v>
                </c:pt>
                <c:pt idx="2">
                  <c:v>18.899999999999999</c:v>
                </c:pt>
                <c:pt idx="3">
                  <c:v>15.2</c:v>
                </c:pt>
                <c:pt idx="4">
                  <c:v>16.3</c:v>
                </c:pt>
                <c:pt idx="5">
                  <c:v>17.399999999999999</c:v>
                </c:pt>
                <c:pt idx="6">
                  <c:v>17.5</c:v>
                </c:pt>
                <c:pt idx="7">
                  <c:v>18.5</c:v>
                </c:pt>
                <c:pt idx="8">
                  <c:v>20.3</c:v>
                </c:pt>
                <c:pt idx="9">
                  <c:v>21.3</c:v>
                </c:pt>
                <c:pt idx="10">
                  <c:v>19.399999999999999</c:v>
                </c:pt>
                <c:pt idx="11">
                  <c:v>20</c:v>
                </c:pt>
                <c:pt idx="12">
                  <c:v>23.6</c:v>
                </c:pt>
                <c:pt idx="13">
                  <c:v>21.3</c:v>
                </c:pt>
                <c:pt idx="14">
                  <c:v>22.9</c:v>
                </c:pt>
                <c:pt idx="15">
                  <c:v>18.399999999999999</c:v>
                </c:pt>
                <c:pt idx="16">
                  <c:v>22.7</c:v>
                </c:pt>
                <c:pt idx="17">
                  <c:v>26.9</c:v>
                </c:pt>
                <c:pt idx="18">
                  <c:v>22.1</c:v>
                </c:pt>
                <c:pt idx="19">
                  <c:v>18</c:v>
                </c:pt>
                <c:pt idx="20">
                  <c:v>19.899999999999999</c:v>
                </c:pt>
                <c:pt idx="21">
                  <c:v>23</c:v>
                </c:pt>
                <c:pt idx="22">
                  <c:v>19.2</c:v>
                </c:pt>
                <c:pt idx="23">
                  <c:v>21.3</c:v>
                </c:pt>
                <c:pt idx="24">
                  <c:v>22.7</c:v>
                </c:pt>
                <c:pt idx="25">
                  <c:v>23.6</c:v>
                </c:pt>
                <c:pt idx="26">
                  <c:v>28.3</c:v>
                </c:pt>
                <c:pt idx="27">
                  <c:v>28.4</c:v>
                </c:pt>
                <c:pt idx="28">
                  <c:v>29.6</c:v>
                </c:pt>
                <c:pt idx="29">
                  <c:v>29.6</c:v>
                </c:pt>
                <c:pt idx="30">
                  <c:v>25.5</c:v>
                </c:pt>
                <c:pt idx="31">
                  <c:v>30.5</c:v>
                </c:pt>
                <c:pt idx="32">
                  <c:v>29.1</c:v>
                </c:pt>
                <c:pt idx="33">
                  <c:v>30.9</c:v>
                </c:pt>
                <c:pt idx="34">
                  <c:v>29.8</c:v>
                </c:pt>
                <c:pt idx="35">
                  <c:v>29.1</c:v>
                </c:pt>
                <c:pt idx="36">
                  <c:v>29.6</c:v>
                </c:pt>
                <c:pt idx="37">
                  <c:v>28.2</c:v>
                </c:pt>
                <c:pt idx="38">
                  <c:v>31.6</c:v>
                </c:pt>
                <c:pt idx="39">
                  <c:v>35.6</c:v>
                </c:pt>
                <c:pt idx="40">
                  <c:v>36.299999999999997</c:v>
                </c:pt>
                <c:pt idx="41">
                  <c:v>42.7</c:v>
                </c:pt>
                <c:pt idx="42">
                  <c:v>45.2</c:v>
                </c:pt>
                <c:pt idx="43">
                  <c:v>47.5</c:v>
                </c:pt>
                <c:pt idx="44">
                  <c:v>56.3</c:v>
                </c:pt>
                <c:pt idx="45">
                  <c:v>60.9</c:v>
                </c:pt>
                <c:pt idx="46">
                  <c:v>60.5</c:v>
                </c:pt>
                <c:pt idx="47">
                  <c:v>65</c:v>
                </c:pt>
                <c:pt idx="48">
                  <c:v>75.599999999999994</c:v>
                </c:pt>
                <c:pt idx="49">
                  <c:v>78.900000000000006</c:v>
                </c:pt>
                <c:pt idx="50">
                  <c:v>87.5</c:v>
                </c:pt>
                <c:pt idx="51">
                  <c:v>91.6</c:v>
                </c:pt>
                <c:pt idx="52">
                  <c:v>98.2</c:v>
                </c:pt>
                <c:pt idx="53">
                  <c:v>99.7</c:v>
                </c:pt>
                <c:pt idx="54">
                  <c:v>95.7</c:v>
                </c:pt>
                <c:pt idx="55">
                  <c:v>93.8</c:v>
                </c:pt>
                <c:pt idx="56">
                  <c:v>117.4</c:v>
                </c:pt>
                <c:pt idx="57">
                  <c:v>122.4</c:v>
                </c:pt>
                <c:pt idx="58">
                  <c:v>124.6</c:v>
                </c:pt>
                <c:pt idx="59">
                  <c:v>137</c:v>
                </c:pt>
                <c:pt idx="60">
                  <c:v>151.1</c:v>
                </c:pt>
                <c:pt idx="61">
                  <c:v>177.3</c:v>
                </c:pt>
                <c:pt idx="62">
                  <c:v>195.4</c:v>
                </c:pt>
                <c:pt idx="63">
                  <c:v>211.6</c:v>
                </c:pt>
                <c:pt idx="64">
                  <c:v>224.4</c:v>
                </c:pt>
                <c:pt idx="65">
                  <c:v>233</c:v>
                </c:pt>
                <c:pt idx="66">
                  <c:v>261.7</c:v>
                </c:pt>
                <c:pt idx="67">
                  <c:v>281.89999999999998</c:v>
                </c:pt>
                <c:pt idx="68">
                  <c:v>315.2</c:v>
                </c:pt>
                <c:pt idx="69">
                  <c:v>338.7</c:v>
                </c:pt>
                <c:pt idx="70">
                  <c:v>403.7</c:v>
                </c:pt>
                <c:pt idx="71">
                  <c:v>412.6</c:v>
                </c:pt>
                <c:pt idx="72">
                  <c:v>414</c:v>
                </c:pt>
                <c:pt idx="73">
                  <c:v>449.2</c:v>
                </c:pt>
                <c:pt idx="74">
                  <c:v>509.6</c:v>
                </c:pt>
                <c:pt idx="75">
                  <c:v>556.20000000000005</c:v>
                </c:pt>
                <c:pt idx="76">
                  <c:v>606.4</c:v>
                </c:pt>
                <c:pt idx="77">
                  <c:v>657.3</c:v>
                </c:pt>
                <c:pt idx="78">
                  <c:v>770.8</c:v>
                </c:pt>
                <c:pt idx="79">
                  <c:v>831</c:v>
                </c:pt>
                <c:pt idx="80">
                  <c:v>853.7</c:v>
                </c:pt>
                <c:pt idx="81">
                  <c:v>902.4</c:v>
                </c:pt>
                <c:pt idx="82">
                  <c:v>907.2</c:v>
                </c:pt>
                <c:pt idx="83">
                  <c:v>941.8</c:v>
                </c:pt>
                <c:pt idx="84">
                  <c:v>977.6</c:v>
                </c:pt>
                <c:pt idx="85">
                  <c:v>1024.2</c:v>
                </c:pt>
                <c:pt idx="86">
                  <c:v>1170.4000000000001</c:v>
                </c:pt>
                <c:pt idx="87">
                  <c:v>1389.1</c:v>
                </c:pt>
                <c:pt idx="88">
                  <c:v>1354.9</c:v>
                </c:pt>
                <c:pt idx="89">
                  <c:v>1238.4000000000001</c:v>
                </c:pt>
                <c:pt idx="90">
                  <c:v>1140.8</c:v>
                </c:pt>
                <c:pt idx="91">
                  <c:v>1256.5</c:v>
                </c:pt>
              </c:numCache>
            </c:numRef>
          </c:val>
          <c:smooth val="0"/>
          <c:extLst>
            <c:ext xmlns:c16="http://schemas.microsoft.com/office/drawing/2014/chart" uri="{C3380CC4-5D6E-409C-BE32-E72D297353CC}">
              <c16:uniqueId val="{00000001-44CB-40BF-830B-A9BF4C21379E}"/>
            </c:ext>
          </c:extLst>
        </c:ser>
        <c:ser>
          <c:idx val="2"/>
          <c:order val="2"/>
          <c:tx>
            <c:strRef>
              <c:f>adultmg_1710483352_418!$D$2</c:f>
              <c:strCache>
                <c:ptCount val="1"/>
                <c:pt idx="0">
                  <c:v>Coho</c:v>
                </c:pt>
              </c:strCache>
            </c:strRef>
          </c:tx>
          <c:spPr>
            <a:ln w="28575" cap="rnd">
              <a:solidFill>
                <a:schemeClr val="accent3"/>
              </a:solidFill>
              <a:round/>
            </a:ln>
            <a:effectLst/>
          </c:spPr>
          <c:marker>
            <c:symbol val="none"/>
          </c:marker>
          <c:cat>
            <c:numRef>
              <c:f>adultmg_1710483352_418!$A$3:$A$95</c:f>
              <c:numCache>
                <c:formatCode>d\-mmm</c:formatCode>
                <c:ptCount val="93"/>
                <c:pt idx="0">
                  <c:v>45402</c:v>
                </c:pt>
                <c:pt idx="1">
                  <c:v>45403</c:v>
                </c:pt>
                <c:pt idx="2">
                  <c:v>45404</c:v>
                </c:pt>
                <c:pt idx="3">
                  <c:v>45405</c:v>
                </c:pt>
                <c:pt idx="4">
                  <c:v>45406</c:v>
                </c:pt>
                <c:pt idx="5">
                  <c:v>45407</c:v>
                </c:pt>
                <c:pt idx="6">
                  <c:v>45408</c:v>
                </c:pt>
                <c:pt idx="7">
                  <c:v>45409</c:v>
                </c:pt>
                <c:pt idx="8">
                  <c:v>45410</c:v>
                </c:pt>
                <c:pt idx="9">
                  <c:v>45411</c:v>
                </c:pt>
                <c:pt idx="10">
                  <c:v>45412</c:v>
                </c:pt>
                <c:pt idx="11">
                  <c:v>45413</c:v>
                </c:pt>
                <c:pt idx="12">
                  <c:v>45414</c:v>
                </c:pt>
                <c:pt idx="13">
                  <c:v>45415</c:v>
                </c:pt>
                <c:pt idx="14">
                  <c:v>45416</c:v>
                </c:pt>
                <c:pt idx="15">
                  <c:v>45417</c:v>
                </c:pt>
                <c:pt idx="16">
                  <c:v>45418</c:v>
                </c:pt>
                <c:pt idx="17">
                  <c:v>45419</c:v>
                </c:pt>
                <c:pt idx="18">
                  <c:v>45420</c:v>
                </c:pt>
                <c:pt idx="19">
                  <c:v>45421</c:v>
                </c:pt>
                <c:pt idx="20">
                  <c:v>45422</c:v>
                </c:pt>
                <c:pt idx="21">
                  <c:v>45423</c:v>
                </c:pt>
                <c:pt idx="22">
                  <c:v>45424</c:v>
                </c:pt>
                <c:pt idx="23">
                  <c:v>45425</c:v>
                </c:pt>
                <c:pt idx="24">
                  <c:v>45426</c:v>
                </c:pt>
                <c:pt idx="25">
                  <c:v>45427</c:v>
                </c:pt>
                <c:pt idx="26">
                  <c:v>45428</c:v>
                </c:pt>
                <c:pt idx="27">
                  <c:v>45429</c:v>
                </c:pt>
                <c:pt idx="28">
                  <c:v>45430</c:v>
                </c:pt>
                <c:pt idx="29">
                  <c:v>45431</c:v>
                </c:pt>
                <c:pt idx="30">
                  <c:v>45432</c:v>
                </c:pt>
                <c:pt idx="31">
                  <c:v>45433</c:v>
                </c:pt>
                <c:pt idx="32">
                  <c:v>45434</c:v>
                </c:pt>
                <c:pt idx="33">
                  <c:v>45435</c:v>
                </c:pt>
                <c:pt idx="34">
                  <c:v>45436</c:v>
                </c:pt>
                <c:pt idx="35">
                  <c:v>45437</c:v>
                </c:pt>
                <c:pt idx="36">
                  <c:v>45438</c:v>
                </c:pt>
                <c:pt idx="37">
                  <c:v>45439</c:v>
                </c:pt>
                <c:pt idx="38">
                  <c:v>45440</c:v>
                </c:pt>
                <c:pt idx="39">
                  <c:v>45441</c:v>
                </c:pt>
                <c:pt idx="40">
                  <c:v>45442</c:v>
                </c:pt>
                <c:pt idx="41">
                  <c:v>45443</c:v>
                </c:pt>
                <c:pt idx="42">
                  <c:v>45444</c:v>
                </c:pt>
                <c:pt idx="43">
                  <c:v>45445</c:v>
                </c:pt>
                <c:pt idx="44">
                  <c:v>45446</c:v>
                </c:pt>
                <c:pt idx="45">
                  <c:v>45447</c:v>
                </c:pt>
                <c:pt idx="46">
                  <c:v>45448</c:v>
                </c:pt>
                <c:pt idx="47">
                  <c:v>45449</c:v>
                </c:pt>
                <c:pt idx="48">
                  <c:v>45450</c:v>
                </c:pt>
                <c:pt idx="49">
                  <c:v>45451</c:v>
                </c:pt>
                <c:pt idx="50">
                  <c:v>45452</c:v>
                </c:pt>
                <c:pt idx="51">
                  <c:v>45453</c:v>
                </c:pt>
                <c:pt idx="52">
                  <c:v>45454</c:v>
                </c:pt>
                <c:pt idx="53">
                  <c:v>45455</c:v>
                </c:pt>
                <c:pt idx="54">
                  <c:v>45456</c:v>
                </c:pt>
                <c:pt idx="55">
                  <c:v>45457</c:v>
                </c:pt>
                <c:pt idx="56">
                  <c:v>45458</c:v>
                </c:pt>
                <c:pt idx="57">
                  <c:v>45459</c:v>
                </c:pt>
                <c:pt idx="58">
                  <c:v>45460</c:v>
                </c:pt>
                <c:pt idx="59">
                  <c:v>45461</c:v>
                </c:pt>
                <c:pt idx="60">
                  <c:v>45462</c:v>
                </c:pt>
                <c:pt idx="61">
                  <c:v>45463</c:v>
                </c:pt>
                <c:pt idx="62">
                  <c:v>45464</c:v>
                </c:pt>
                <c:pt idx="63">
                  <c:v>45465</c:v>
                </c:pt>
                <c:pt idx="64">
                  <c:v>45466</c:v>
                </c:pt>
                <c:pt idx="65">
                  <c:v>45467</c:v>
                </c:pt>
                <c:pt idx="66">
                  <c:v>45468</c:v>
                </c:pt>
                <c:pt idx="67">
                  <c:v>45469</c:v>
                </c:pt>
                <c:pt idx="68">
                  <c:v>45470</c:v>
                </c:pt>
                <c:pt idx="69">
                  <c:v>45471</c:v>
                </c:pt>
                <c:pt idx="70">
                  <c:v>45472</c:v>
                </c:pt>
                <c:pt idx="71">
                  <c:v>45473</c:v>
                </c:pt>
                <c:pt idx="72">
                  <c:v>45474</c:v>
                </c:pt>
                <c:pt idx="73">
                  <c:v>45475</c:v>
                </c:pt>
                <c:pt idx="74">
                  <c:v>45476</c:v>
                </c:pt>
                <c:pt idx="75">
                  <c:v>45477</c:v>
                </c:pt>
                <c:pt idx="76">
                  <c:v>45478</c:v>
                </c:pt>
                <c:pt idx="77">
                  <c:v>45479</c:v>
                </c:pt>
                <c:pt idx="78">
                  <c:v>45480</c:v>
                </c:pt>
                <c:pt idx="79">
                  <c:v>45481</c:v>
                </c:pt>
                <c:pt idx="80">
                  <c:v>45482</c:v>
                </c:pt>
                <c:pt idx="81">
                  <c:v>45483</c:v>
                </c:pt>
                <c:pt idx="82">
                  <c:v>45484</c:v>
                </c:pt>
                <c:pt idx="83">
                  <c:v>45485</c:v>
                </c:pt>
                <c:pt idx="84">
                  <c:v>45486</c:v>
                </c:pt>
                <c:pt idx="85">
                  <c:v>45487</c:v>
                </c:pt>
                <c:pt idx="86">
                  <c:v>45488</c:v>
                </c:pt>
                <c:pt idx="87">
                  <c:v>45489</c:v>
                </c:pt>
                <c:pt idx="88">
                  <c:v>45490</c:v>
                </c:pt>
                <c:pt idx="89">
                  <c:v>45491</c:v>
                </c:pt>
                <c:pt idx="90">
                  <c:v>45492</c:v>
                </c:pt>
                <c:pt idx="91">
                  <c:v>45493</c:v>
                </c:pt>
              </c:numCache>
            </c:numRef>
          </c:cat>
          <c:val>
            <c:numRef>
              <c:f>adultmg_1710483352_418!$D$3:$D$95</c:f>
              <c:numCache>
                <c:formatCode>General</c:formatCode>
                <c:ptCount val="9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numCache>
            </c:numRef>
          </c:val>
          <c:smooth val="0"/>
          <c:extLst>
            <c:ext xmlns:c16="http://schemas.microsoft.com/office/drawing/2014/chart" uri="{C3380CC4-5D6E-409C-BE32-E72D297353CC}">
              <c16:uniqueId val="{00000002-44CB-40BF-830B-A9BF4C21379E}"/>
            </c:ext>
          </c:extLst>
        </c:ser>
        <c:ser>
          <c:idx val="3"/>
          <c:order val="3"/>
          <c:tx>
            <c:strRef>
              <c:f>adultmg_1710483352_418!$E$2</c:f>
              <c:strCache>
                <c:ptCount val="1"/>
                <c:pt idx="0">
                  <c:v>Sockeye</c:v>
                </c:pt>
              </c:strCache>
            </c:strRef>
          </c:tx>
          <c:spPr>
            <a:ln w="28575" cap="rnd">
              <a:solidFill>
                <a:schemeClr val="accent4"/>
              </a:solidFill>
              <a:round/>
            </a:ln>
            <a:effectLst/>
          </c:spPr>
          <c:marker>
            <c:symbol val="none"/>
          </c:marker>
          <c:cat>
            <c:numRef>
              <c:f>adultmg_1710483352_418!$A$3:$A$95</c:f>
              <c:numCache>
                <c:formatCode>d\-mmm</c:formatCode>
                <c:ptCount val="93"/>
                <c:pt idx="0">
                  <c:v>45402</c:v>
                </c:pt>
                <c:pt idx="1">
                  <c:v>45403</c:v>
                </c:pt>
                <c:pt idx="2">
                  <c:v>45404</c:v>
                </c:pt>
                <c:pt idx="3">
                  <c:v>45405</c:v>
                </c:pt>
                <c:pt idx="4">
                  <c:v>45406</c:v>
                </c:pt>
                <c:pt idx="5">
                  <c:v>45407</c:v>
                </c:pt>
                <c:pt idx="6">
                  <c:v>45408</c:v>
                </c:pt>
                <c:pt idx="7">
                  <c:v>45409</c:v>
                </c:pt>
                <c:pt idx="8">
                  <c:v>45410</c:v>
                </c:pt>
                <c:pt idx="9">
                  <c:v>45411</c:v>
                </c:pt>
                <c:pt idx="10">
                  <c:v>45412</c:v>
                </c:pt>
                <c:pt idx="11">
                  <c:v>45413</c:v>
                </c:pt>
                <c:pt idx="12">
                  <c:v>45414</c:v>
                </c:pt>
                <c:pt idx="13">
                  <c:v>45415</c:v>
                </c:pt>
                <c:pt idx="14">
                  <c:v>45416</c:v>
                </c:pt>
                <c:pt idx="15">
                  <c:v>45417</c:v>
                </c:pt>
                <c:pt idx="16">
                  <c:v>45418</c:v>
                </c:pt>
                <c:pt idx="17">
                  <c:v>45419</c:v>
                </c:pt>
                <c:pt idx="18">
                  <c:v>45420</c:v>
                </c:pt>
                <c:pt idx="19">
                  <c:v>45421</c:v>
                </c:pt>
                <c:pt idx="20">
                  <c:v>45422</c:v>
                </c:pt>
                <c:pt idx="21">
                  <c:v>45423</c:v>
                </c:pt>
                <c:pt idx="22">
                  <c:v>45424</c:v>
                </c:pt>
                <c:pt idx="23">
                  <c:v>45425</c:v>
                </c:pt>
                <c:pt idx="24">
                  <c:v>45426</c:v>
                </c:pt>
                <c:pt idx="25">
                  <c:v>45427</c:v>
                </c:pt>
                <c:pt idx="26">
                  <c:v>45428</c:v>
                </c:pt>
                <c:pt idx="27">
                  <c:v>45429</c:v>
                </c:pt>
                <c:pt idx="28">
                  <c:v>45430</c:v>
                </c:pt>
                <c:pt idx="29">
                  <c:v>45431</c:v>
                </c:pt>
                <c:pt idx="30">
                  <c:v>45432</c:v>
                </c:pt>
                <c:pt idx="31">
                  <c:v>45433</c:v>
                </c:pt>
                <c:pt idx="32">
                  <c:v>45434</c:v>
                </c:pt>
                <c:pt idx="33">
                  <c:v>45435</c:v>
                </c:pt>
                <c:pt idx="34">
                  <c:v>45436</c:v>
                </c:pt>
                <c:pt idx="35">
                  <c:v>45437</c:v>
                </c:pt>
                <c:pt idx="36">
                  <c:v>45438</c:v>
                </c:pt>
                <c:pt idx="37">
                  <c:v>45439</c:v>
                </c:pt>
                <c:pt idx="38">
                  <c:v>45440</c:v>
                </c:pt>
                <c:pt idx="39">
                  <c:v>45441</c:v>
                </c:pt>
                <c:pt idx="40">
                  <c:v>45442</c:v>
                </c:pt>
                <c:pt idx="41">
                  <c:v>45443</c:v>
                </c:pt>
                <c:pt idx="42">
                  <c:v>45444</c:v>
                </c:pt>
                <c:pt idx="43">
                  <c:v>45445</c:v>
                </c:pt>
                <c:pt idx="44">
                  <c:v>45446</c:v>
                </c:pt>
                <c:pt idx="45">
                  <c:v>45447</c:v>
                </c:pt>
                <c:pt idx="46">
                  <c:v>45448</c:v>
                </c:pt>
                <c:pt idx="47">
                  <c:v>45449</c:v>
                </c:pt>
                <c:pt idx="48">
                  <c:v>45450</c:v>
                </c:pt>
                <c:pt idx="49">
                  <c:v>45451</c:v>
                </c:pt>
                <c:pt idx="50">
                  <c:v>45452</c:v>
                </c:pt>
                <c:pt idx="51">
                  <c:v>45453</c:v>
                </c:pt>
                <c:pt idx="52">
                  <c:v>45454</c:v>
                </c:pt>
                <c:pt idx="53">
                  <c:v>45455</c:v>
                </c:pt>
                <c:pt idx="54">
                  <c:v>45456</c:v>
                </c:pt>
                <c:pt idx="55">
                  <c:v>45457</c:v>
                </c:pt>
                <c:pt idx="56">
                  <c:v>45458</c:v>
                </c:pt>
                <c:pt idx="57">
                  <c:v>45459</c:v>
                </c:pt>
                <c:pt idx="58">
                  <c:v>45460</c:v>
                </c:pt>
                <c:pt idx="59">
                  <c:v>45461</c:v>
                </c:pt>
                <c:pt idx="60">
                  <c:v>45462</c:v>
                </c:pt>
                <c:pt idx="61">
                  <c:v>45463</c:v>
                </c:pt>
                <c:pt idx="62">
                  <c:v>45464</c:v>
                </c:pt>
                <c:pt idx="63">
                  <c:v>45465</c:v>
                </c:pt>
                <c:pt idx="64">
                  <c:v>45466</c:v>
                </c:pt>
                <c:pt idx="65">
                  <c:v>45467</c:v>
                </c:pt>
                <c:pt idx="66">
                  <c:v>45468</c:v>
                </c:pt>
                <c:pt idx="67">
                  <c:v>45469</c:v>
                </c:pt>
                <c:pt idx="68">
                  <c:v>45470</c:v>
                </c:pt>
                <c:pt idx="69">
                  <c:v>45471</c:v>
                </c:pt>
                <c:pt idx="70">
                  <c:v>45472</c:v>
                </c:pt>
                <c:pt idx="71">
                  <c:v>45473</c:v>
                </c:pt>
                <c:pt idx="72">
                  <c:v>45474</c:v>
                </c:pt>
                <c:pt idx="73">
                  <c:v>45475</c:v>
                </c:pt>
                <c:pt idx="74">
                  <c:v>45476</c:v>
                </c:pt>
                <c:pt idx="75">
                  <c:v>45477</c:v>
                </c:pt>
                <c:pt idx="76">
                  <c:v>45478</c:v>
                </c:pt>
                <c:pt idx="77">
                  <c:v>45479</c:v>
                </c:pt>
                <c:pt idx="78">
                  <c:v>45480</c:v>
                </c:pt>
                <c:pt idx="79">
                  <c:v>45481</c:v>
                </c:pt>
                <c:pt idx="80">
                  <c:v>45482</c:v>
                </c:pt>
                <c:pt idx="81">
                  <c:v>45483</c:v>
                </c:pt>
                <c:pt idx="82">
                  <c:v>45484</c:v>
                </c:pt>
                <c:pt idx="83">
                  <c:v>45485</c:v>
                </c:pt>
                <c:pt idx="84">
                  <c:v>45486</c:v>
                </c:pt>
                <c:pt idx="85">
                  <c:v>45487</c:v>
                </c:pt>
                <c:pt idx="86">
                  <c:v>45488</c:v>
                </c:pt>
                <c:pt idx="87">
                  <c:v>45489</c:v>
                </c:pt>
                <c:pt idx="88">
                  <c:v>45490</c:v>
                </c:pt>
                <c:pt idx="89">
                  <c:v>45491</c:v>
                </c:pt>
                <c:pt idx="90">
                  <c:v>45492</c:v>
                </c:pt>
                <c:pt idx="91">
                  <c:v>45493</c:v>
                </c:pt>
              </c:numCache>
            </c:numRef>
          </c:cat>
          <c:val>
            <c:numRef>
              <c:f>adultmg_1710483352_418!$E$3:$E$95</c:f>
              <c:numCache>
                <c:formatCode>General</c:formatCode>
                <c:ptCount val="93"/>
                <c:pt idx="0">
                  <c:v>0</c:v>
                </c:pt>
                <c:pt idx="1">
                  <c:v>0</c:v>
                </c:pt>
                <c:pt idx="2">
                  <c:v>0</c:v>
                </c:pt>
                <c:pt idx="3">
                  <c:v>0</c:v>
                </c:pt>
                <c:pt idx="4">
                  <c:v>0</c:v>
                </c:pt>
                <c:pt idx="5">
                  <c:v>0</c:v>
                </c:pt>
                <c:pt idx="6">
                  <c:v>0</c:v>
                </c:pt>
                <c:pt idx="7">
                  <c:v>0.1</c:v>
                </c:pt>
                <c:pt idx="8">
                  <c:v>0</c:v>
                </c:pt>
                <c:pt idx="9">
                  <c:v>0</c:v>
                </c:pt>
                <c:pt idx="10">
                  <c:v>0.1</c:v>
                </c:pt>
                <c:pt idx="11">
                  <c:v>0</c:v>
                </c:pt>
                <c:pt idx="12">
                  <c:v>0</c:v>
                </c:pt>
                <c:pt idx="13">
                  <c:v>0.3</c:v>
                </c:pt>
                <c:pt idx="14">
                  <c:v>0</c:v>
                </c:pt>
                <c:pt idx="15">
                  <c:v>0</c:v>
                </c:pt>
                <c:pt idx="16">
                  <c:v>0.5</c:v>
                </c:pt>
                <c:pt idx="17">
                  <c:v>0</c:v>
                </c:pt>
                <c:pt idx="18">
                  <c:v>0</c:v>
                </c:pt>
                <c:pt idx="19">
                  <c:v>0</c:v>
                </c:pt>
                <c:pt idx="20">
                  <c:v>0.1</c:v>
                </c:pt>
                <c:pt idx="21">
                  <c:v>0.1</c:v>
                </c:pt>
                <c:pt idx="22">
                  <c:v>0</c:v>
                </c:pt>
                <c:pt idx="23">
                  <c:v>0</c:v>
                </c:pt>
                <c:pt idx="24">
                  <c:v>0</c:v>
                </c:pt>
                <c:pt idx="25">
                  <c:v>0</c:v>
                </c:pt>
                <c:pt idx="26">
                  <c:v>0</c:v>
                </c:pt>
                <c:pt idx="27">
                  <c:v>0</c:v>
                </c:pt>
                <c:pt idx="28">
                  <c:v>0.1</c:v>
                </c:pt>
                <c:pt idx="29">
                  <c:v>0</c:v>
                </c:pt>
                <c:pt idx="30">
                  <c:v>0</c:v>
                </c:pt>
                <c:pt idx="31">
                  <c:v>0.4</c:v>
                </c:pt>
                <c:pt idx="32">
                  <c:v>0.6</c:v>
                </c:pt>
                <c:pt idx="33">
                  <c:v>0.3</c:v>
                </c:pt>
                <c:pt idx="34">
                  <c:v>1.6</c:v>
                </c:pt>
                <c:pt idx="35">
                  <c:v>2.9</c:v>
                </c:pt>
                <c:pt idx="36">
                  <c:v>4.3</c:v>
                </c:pt>
                <c:pt idx="37">
                  <c:v>6</c:v>
                </c:pt>
                <c:pt idx="38">
                  <c:v>5.4</c:v>
                </c:pt>
                <c:pt idx="39">
                  <c:v>16.8</c:v>
                </c:pt>
                <c:pt idx="40">
                  <c:v>33.299999999999997</c:v>
                </c:pt>
                <c:pt idx="41">
                  <c:v>51.6</c:v>
                </c:pt>
                <c:pt idx="42">
                  <c:v>64.900000000000006</c:v>
                </c:pt>
                <c:pt idx="43">
                  <c:v>90.3</c:v>
                </c:pt>
                <c:pt idx="44">
                  <c:v>142.1</c:v>
                </c:pt>
                <c:pt idx="45">
                  <c:v>229.6</c:v>
                </c:pt>
                <c:pt idx="46">
                  <c:v>355.8</c:v>
                </c:pt>
                <c:pt idx="47">
                  <c:v>457.2</c:v>
                </c:pt>
                <c:pt idx="48">
                  <c:v>649.4</c:v>
                </c:pt>
                <c:pt idx="49">
                  <c:v>687.6</c:v>
                </c:pt>
                <c:pt idx="50">
                  <c:v>907</c:v>
                </c:pt>
                <c:pt idx="51">
                  <c:v>1341.2</c:v>
                </c:pt>
                <c:pt idx="52">
                  <c:v>1903.5</c:v>
                </c:pt>
                <c:pt idx="53">
                  <c:v>2457.1</c:v>
                </c:pt>
                <c:pt idx="54">
                  <c:v>3075.6</c:v>
                </c:pt>
                <c:pt idx="55">
                  <c:v>3131</c:v>
                </c:pt>
                <c:pt idx="56">
                  <c:v>3912.5</c:v>
                </c:pt>
                <c:pt idx="57">
                  <c:v>5108</c:v>
                </c:pt>
                <c:pt idx="58">
                  <c:v>6160.5</c:v>
                </c:pt>
                <c:pt idx="59">
                  <c:v>6935.7</c:v>
                </c:pt>
                <c:pt idx="60">
                  <c:v>8758.9</c:v>
                </c:pt>
                <c:pt idx="61">
                  <c:v>10518.4</c:v>
                </c:pt>
                <c:pt idx="62">
                  <c:v>13879.5</c:v>
                </c:pt>
                <c:pt idx="63">
                  <c:v>15302.4</c:v>
                </c:pt>
                <c:pt idx="64">
                  <c:v>15460.8</c:v>
                </c:pt>
                <c:pt idx="65">
                  <c:v>15204.1</c:v>
                </c:pt>
                <c:pt idx="66">
                  <c:v>15666.7</c:v>
                </c:pt>
                <c:pt idx="67">
                  <c:v>17017</c:v>
                </c:pt>
                <c:pt idx="68">
                  <c:v>17276.599999999999</c:v>
                </c:pt>
                <c:pt idx="69">
                  <c:v>16722.900000000001</c:v>
                </c:pt>
                <c:pt idx="70">
                  <c:v>16611.5</c:v>
                </c:pt>
                <c:pt idx="71">
                  <c:v>13760.6</c:v>
                </c:pt>
                <c:pt idx="72">
                  <c:v>12719.5</c:v>
                </c:pt>
                <c:pt idx="73">
                  <c:v>11289</c:v>
                </c:pt>
                <c:pt idx="74">
                  <c:v>10605.6</c:v>
                </c:pt>
                <c:pt idx="75">
                  <c:v>10899.5</c:v>
                </c:pt>
                <c:pt idx="76">
                  <c:v>10139.4</c:v>
                </c:pt>
                <c:pt idx="77">
                  <c:v>8832</c:v>
                </c:pt>
                <c:pt idx="78">
                  <c:v>7859.8</c:v>
                </c:pt>
                <c:pt idx="79">
                  <c:v>6589</c:v>
                </c:pt>
                <c:pt idx="80">
                  <c:v>5236.8999999999996</c:v>
                </c:pt>
                <c:pt idx="81">
                  <c:v>4622.8</c:v>
                </c:pt>
                <c:pt idx="82">
                  <c:v>3799.7</c:v>
                </c:pt>
                <c:pt idx="83">
                  <c:v>3109.6</c:v>
                </c:pt>
                <c:pt idx="84">
                  <c:v>2829.9</c:v>
                </c:pt>
                <c:pt idx="85">
                  <c:v>2574.1</c:v>
                </c:pt>
                <c:pt idx="86">
                  <c:v>1970.3</c:v>
                </c:pt>
                <c:pt idx="87">
                  <c:v>1727.6</c:v>
                </c:pt>
                <c:pt idx="88">
                  <c:v>1643.1</c:v>
                </c:pt>
                <c:pt idx="89">
                  <c:v>1386.1</c:v>
                </c:pt>
                <c:pt idx="90">
                  <c:v>1181.5</c:v>
                </c:pt>
                <c:pt idx="91">
                  <c:v>1004.2</c:v>
                </c:pt>
              </c:numCache>
            </c:numRef>
          </c:val>
          <c:smooth val="0"/>
          <c:extLst>
            <c:ext xmlns:c16="http://schemas.microsoft.com/office/drawing/2014/chart" uri="{C3380CC4-5D6E-409C-BE32-E72D297353CC}">
              <c16:uniqueId val="{00000003-44CB-40BF-830B-A9BF4C21379E}"/>
            </c:ext>
          </c:extLst>
        </c:ser>
        <c:ser>
          <c:idx val="4"/>
          <c:order val="4"/>
          <c:tx>
            <c:strRef>
              <c:f>adultmg_1710483352_418!$F$2</c:f>
              <c:strCache>
                <c:ptCount val="1"/>
                <c:pt idx="0">
                  <c:v>Lamprey</c:v>
                </c:pt>
              </c:strCache>
            </c:strRef>
          </c:tx>
          <c:spPr>
            <a:ln w="28575" cap="rnd">
              <a:solidFill>
                <a:schemeClr val="accent5"/>
              </a:solidFill>
              <a:round/>
            </a:ln>
            <a:effectLst/>
          </c:spPr>
          <c:marker>
            <c:symbol val="none"/>
          </c:marker>
          <c:cat>
            <c:numRef>
              <c:f>adultmg_1710483352_418!$A$3:$A$95</c:f>
              <c:numCache>
                <c:formatCode>d\-mmm</c:formatCode>
                <c:ptCount val="93"/>
                <c:pt idx="0">
                  <c:v>45402</c:v>
                </c:pt>
                <c:pt idx="1">
                  <c:v>45403</c:v>
                </c:pt>
                <c:pt idx="2">
                  <c:v>45404</c:v>
                </c:pt>
                <c:pt idx="3">
                  <c:v>45405</c:v>
                </c:pt>
                <c:pt idx="4">
                  <c:v>45406</c:v>
                </c:pt>
                <c:pt idx="5">
                  <c:v>45407</c:v>
                </c:pt>
                <c:pt idx="6">
                  <c:v>45408</c:v>
                </c:pt>
                <c:pt idx="7">
                  <c:v>45409</c:v>
                </c:pt>
                <c:pt idx="8">
                  <c:v>45410</c:v>
                </c:pt>
                <c:pt idx="9">
                  <c:v>45411</c:v>
                </c:pt>
                <c:pt idx="10">
                  <c:v>45412</c:v>
                </c:pt>
                <c:pt idx="11">
                  <c:v>45413</c:v>
                </c:pt>
                <c:pt idx="12">
                  <c:v>45414</c:v>
                </c:pt>
                <c:pt idx="13">
                  <c:v>45415</c:v>
                </c:pt>
                <c:pt idx="14">
                  <c:v>45416</c:v>
                </c:pt>
                <c:pt idx="15">
                  <c:v>45417</c:v>
                </c:pt>
                <c:pt idx="16">
                  <c:v>45418</c:v>
                </c:pt>
                <c:pt idx="17">
                  <c:v>45419</c:v>
                </c:pt>
                <c:pt idx="18">
                  <c:v>45420</c:v>
                </c:pt>
                <c:pt idx="19">
                  <c:v>45421</c:v>
                </c:pt>
                <c:pt idx="20">
                  <c:v>45422</c:v>
                </c:pt>
                <c:pt idx="21">
                  <c:v>45423</c:v>
                </c:pt>
                <c:pt idx="22">
                  <c:v>45424</c:v>
                </c:pt>
                <c:pt idx="23">
                  <c:v>45425</c:v>
                </c:pt>
                <c:pt idx="24">
                  <c:v>45426</c:v>
                </c:pt>
                <c:pt idx="25">
                  <c:v>45427</c:v>
                </c:pt>
                <c:pt idx="26">
                  <c:v>45428</c:v>
                </c:pt>
                <c:pt idx="27">
                  <c:v>45429</c:v>
                </c:pt>
                <c:pt idx="28">
                  <c:v>45430</c:v>
                </c:pt>
                <c:pt idx="29">
                  <c:v>45431</c:v>
                </c:pt>
                <c:pt idx="30">
                  <c:v>45432</c:v>
                </c:pt>
                <c:pt idx="31">
                  <c:v>45433</c:v>
                </c:pt>
                <c:pt idx="32">
                  <c:v>45434</c:v>
                </c:pt>
                <c:pt idx="33">
                  <c:v>45435</c:v>
                </c:pt>
                <c:pt idx="34">
                  <c:v>45436</c:v>
                </c:pt>
                <c:pt idx="35">
                  <c:v>45437</c:v>
                </c:pt>
                <c:pt idx="36">
                  <c:v>45438</c:v>
                </c:pt>
                <c:pt idx="37">
                  <c:v>45439</c:v>
                </c:pt>
                <c:pt idx="38">
                  <c:v>45440</c:v>
                </c:pt>
                <c:pt idx="39">
                  <c:v>45441</c:v>
                </c:pt>
                <c:pt idx="40">
                  <c:v>45442</c:v>
                </c:pt>
                <c:pt idx="41">
                  <c:v>45443</c:v>
                </c:pt>
                <c:pt idx="42">
                  <c:v>45444</c:v>
                </c:pt>
                <c:pt idx="43">
                  <c:v>45445</c:v>
                </c:pt>
                <c:pt idx="44">
                  <c:v>45446</c:v>
                </c:pt>
                <c:pt idx="45">
                  <c:v>45447</c:v>
                </c:pt>
                <c:pt idx="46">
                  <c:v>45448</c:v>
                </c:pt>
                <c:pt idx="47">
                  <c:v>45449</c:v>
                </c:pt>
                <c:pt idx="48">
                  <c:v>45450</c:v>
                </c:pt>
                <c:pt idx="49">
                  <c:v>45451</c:v>
                </c:pt>
                <c:pt idx="50">
                  <c:v>45452</c:v>
                </c:pt>
                <c:pt idx="51">
                  <c:v>45453</c:v>
                </c:pt>
                <c:pt idx="52">
                  <c:v>45454</c:v>
                </c:pt>
                <c:pt idx="53">
                  <c:v>45455</c:v>
                </c:pt>
                <c:pt idx="54">
                  <c:v>45456</c:v>
                </c:pt>
                <c:pt idx="55">
                  <c:v>45457</c:v>
                </c:pt>
                <c:pt idx="56">
                  <c:v>45458</c:v>
                </c:pt>
                <c:pt idx="57">
                  <c:v>45459</c:v>
                </c:pt>
                <c:pt idx="58">
                  <c:v>45460</c:v>
                </c:pt>
                <c:pt idx="59">
                  <c:v>45461</c:v>
                </c:pt>
                <c:pt idx="60">
                  <c:v>45462</c:v>
                </c:pt>
                <c:pt idx="61">
                  <c:v>45463</c:v>
                </c:pt>
                <c:pt idx="62">
                  <c:v>45464</c:v>
                </c:pt>
                <c:pt idx="63">
                  <c:v>45465</c:v>
                </c:pt>
                <c:pt idx="64">
                  <c:v>45466</c:v>
                </c:pt>
                <c:pt idx="65">
                  <c:v>45467</c:v>
                </c:pt>
                <c:pt idx="66">
                  <c:v>45468</c:v>
                </c:pt>
                <c:pt idx="67">
                  <c:v>45469</c:v>
                </c:pt>
                <c:pt idx="68">
                  <c:v>45470</c:v>
                </c:pt>
                <c:pt idx="69">
                  <c:v>45471</c:v>
                </c:pt>
                <c:pt idx="70">
                  <c:v>45472</c:v>
                </c:pt>
                <c:pt idx="71">
                  <c:v>45473</c:v>
                </c:pt>
                <c:pt idx="72">
                  <c:v>45474</c:v>
                </c:pt>
                <c:pt idx="73">
                  <c:v>45475</c:v>
                </c:pt>
                <c:pt idx="74">
                  <c:v>45476</c:v>
                </c:pt>
                <c:pt idx="75">
                  <c:v>45477</c:v>
                </c:pt>
                <c:pt idx="76">
                  <c:v>45478</c:v>
                </c:pt>
                <c:pt idx="77">
                  <c:v>45479</c:v>
                </c:pt>
                <c:pt idx="78">
                  <c:v>45480</c:v>
                </c:pt>
                <c:pt idx="79">
                  <c:v>45481</c:v>
                </c:pt>
                <c:pt idx="80">
                  <c:v>45482</c:v>
                </c:pt>
                <c:pt idx="81">
                  <c:v>45483</c:v>
                </c:pt>
                <c:pt idx="82">
                  <c:v>45484</c:v>
                </c:pt>
                <c:pt idx="83">
                  <c:v>45485</c:v>
                </c:pt>
                <c:pt idx="84">
                  <c:v>45486</c:v>
                </c:pt>
                <c:pt idx="85">
                  <c:v>45487</c:v>
                </c:pt>
                <c:pt idx="86">
                  <c:v>45488</c:v>
                </c:pt>
                <c:pt idx="87">
                  <c:v>45489</c:v>
                </c:pt>
                <c:pt idx="88">
                  <c:v>45490</c:v>
                </c:pt>
                <c:pt idx="89">
                  <c:v>45491</c:v>
                </c:pt>
                <c:pt idx="90">
                  <c:v>45492</c:v>
                </c:pt>
                <c:pt idx="91">
                  <c:v>45493</c:v>
                </c:pt>
              </c:numCache>
            </c:numRef>
          </c:cat>
          <c:val>
            <c:numRef>
              <c:f>adultmg_1710483352_418!$F$3:$F$95</c:f>
              <c:numCache>
                <c:formatCode>General</c:formatCode>
                <c:ptCount val="93"/>
                <c:pt idx="0">
                  <c:v>0</c:v>
                </c:pt>
                <c:pt idx="1">
                  <c:v>0</c:v>
                </c:pt>
                <c:pt idx="2">
                  <c:v>0.1</c:v>
                </c:pt>
                <c:pt idx="3">
                  <c:v>0.1</c:v>
                </c:pt>
                <c:pt idx="4">
                  <c:v>0.2</c:v>
                </c:pt>
                <c:pt idx="5">
                  <c:v>0.1</c:v>
                </c:pt>
                <c:pt idx="6">
                  <c:v>0.1</c:v>
                </c:pt>
                <c:pt idx="7">
                  <c:v>0.1</c:v>
                </c:pt>
                <c:pt idx="8">
                  <c:v>0</c:v>
                </c:pt>
                <c:pt idx="9">
                  <c:v>0.2</c:v>
                </c:pt>
                <c:pt idx="10">
                  <c:v>0</c:v>
                </c:pt>
                <c:pt idx="11">
                  <c:v>0.6</c:v>
                </c:pt>
                <c:pt idx="12">
                  <c:v>0.2</c:v>
                </c:pt>
                <c:pt idx="13">
                  <c:v>0.8</c:v>
                </c:pt>
                <c:pt idx="14">
                  <c:v>1.4</c:v>
                </c:pt>
                <c:pt idx="15">
                  <c:v>0.2</c:v>
                </c:pt>
                <c:pt idx="16">
                  <c:v>0.3</c:v>
                </c:pt>
                <c:pt idx="17">
                  <c:v>9.1999999999999993</c:v>
                </c:pt>
                <c:pt idx="18">
                  <c:v>10.8</c:v>
                </c:pt>
                <c:pt idx="19">
                  <c:v>7.8</c:v>
                </c:pt>
                <c:pt idx="20">
                  <c:v>26.8</c:v>
                </c:pt>
                <c:pt idx="21">
                  <c:v>11.3</c:v>
                </c:pt>
                <c:pt idx="22">
                  <c:v>11.5</c:v>
                </c:pt>
                <c:pt idx="23">
                  <c:v>15.6</c:v>
                </c:pt>
                <c:pt idx="24">
                  <c:v>11</c:v>
                </c:pt>
                <c:pt idx="25">
                  <c:v>23.2</c:v>
                </c:pt>
                <c:pt idx="26">
                  <c:v>26.1</c:v>
                </c:pt>
                <c:pt idx="27">
                  <c:v>47.5</c:v>
                </c:pt>
                <c:pt idx="28">
                  <c:v>57.1</c:v>
                </c:pt>
                <c:pt idx="29">
                  <c:v>53.8</c:v>
                </c:pt>
                <c:pt idx="30">
                  <c:v>61.5</c:v>
                </c:pt>
                <c:pt idx="31">
                  <c:v>79.2</c:v>
                </c:pt>
                <c:pt idx="32">
                  <c:v>51.4</c:v>
                </c:pt>
                <c:pt idx="33">
                  <c:v>49.1</c:v>
                </c:pt>
                <c:pt idx="34">
                  <c:v>132</c:v>
                </c:pt>
                <c:pt idx="35">
                  <c:v>125.3</c:v>
                </c:pt>
                <c:pt idx="36">
                  <c:v>175</c:v>
                </c:pt>
                <c:pt idx="37">
                  <c:v>113.9</c:v>
                </c:pt>
                <c:pt idx="38">
                  <c:v>165.3</c:v>
                </c:pt>
                <c:pt idx="39">
                  <c:v>174.3</c:v>
                </c:pt>
                <c:pt idx="40">
                  <c:v>175.3</c:v>
                </c:pt>
                <c:pt idx="41">
                  <c:v>163.6</c:v>
                </c:pt>
                <c:pt idx="42">
                  <c:v>222.8</c:v>
                </c:pt>
                <c:pt idx="43">
                  <c:v>232.2</c:v>
                </c:pt>
                <c:pt idx="44">
                  <c:v>283.5</c:v>
                </c:pt>
                <c:pt idx="45">
                  <c:v>237</c:v>
                </c:pt>
                <c:pt idx="46">
                  <c:v>220.6</c:v>
                </c:pt>
                <c:pt idx="47">
                  <c:v>222.4</c:v>
                </c:pt>
                <c:pt idx="48">
                  <c:v>325.60000000000002</c:v>
                </c:pt>
                <c:pt idx="49">
                  <c:v>386.2</c:v>
                </c:pt>
                <c:pt idx="50">
                  <c:v>302.2</c:v>
                </c:pt>
                <c:pt idx="51">
                  <c:v>177.9</c:v>
                </c:pt>
                <c:pt idx="52">
                  <c:v>209.4</c:v>
                </c:pt>
                <c:pt idx="53">
                  <c:v>375.3</c:v>
                </c:pt>
                <c:pt idx="54">
                  <c:v>556.6</c:v>
                </c:pt>
                <c:pt idx="55">
                  <c:v>422.9</c:v>
                </c:pt>
                <c:pt idx="56">
                  <c:v>247.7</c:v>
                </c:pt>
                <c:pt idx="57">
                  <c:v>284.89999999999998</c:v>
                </c:pt>
                <c:pt idx="58">
                  <c:v>322.39999999999998</c:v>
                </c:pt>
                <c:pt idx="59">
                  <c:v>389</c:v>
                </c:pt>
                <c:pt idx="60">
                  <c:v>566.70000000000005</c:v>
                </c:pt>
                <c:pt idx="61">
                  <c:v>570.5</c:v>
                </c:pt>
                <c:pt idx="62">
                  <c:v>492</c:v>
                </c:pt>
                <c:pt idx="63">
                  <c:v>551.4</c:v>
                </c:pt>
                <c:pt idx="64">
                  <c:v>752.6</c:v>
                </c:pt>
                <c:pt idx="65">
                  <c:v>695.6</c:v>
                </c:pt>
                <c:pt idx="66">
                  <c:v>726</c:v>
                </c:pt>
                <c:pt idx="67">
                  <c:v>688.1</c:v>
                </c:pt>
                <c:pt idx="68">
                  <c:v>722.2</c:v>
                </c:pt>
                <c:pt idx="69">
                  <c:v>552.5</c:v>
                </c:pt>
                <c:pt idx="70">
                  <c:v>550.29999999999995</c:v>
                </c:pt>
                <c:pt idx="71">
                  <c:v>677.4</c:v>
                </c:pt>
                <c:pt idx="72">
                  <c:v>695</c:v>
                </c:pt>
                <c:pt idx="73">
                  <c:v>692.1</c:v>
                </c:pt>
                <c:pt idx="74">
                  <c:v>543.9</c:v>
                </c:pt>
                <c:pt idx="75">
                  <c:v>537</c:v>
                </c:pt>
                <c:pt idx="76">
                  <c:v>562.29999999999995</c:v>
                </c:pt>
                <c:pt idx="77">
                  <c:v>702.6</c:v>
                </c:pt>
                <c:pt idx="78">
                  <c:v>773.9</c:v>
                </c:pt>
                <c:pt idx="79">
                  <c:v>652.5</c:v>
                </c:pt>
                <c:pt idx="80">
                  <c:v>813.9</c:v>
                </c:pt>
                <c:pt idx="81">
                  <c:v>774.9</c:v>
                </c:pt>
                <c:pt idx="82">
                  <c:v>556.79999999999995</c:v>
                </c:pt>
                <c:pt idx="83">
                  <c:v>639</c:v>
                </c:pt>
                <c:pt idx="84">
                  <c:v>927.5</c:v>
                </c:pt>
                <c:pt idx="85">
                  <c:v>831.9</c:v>
                </c:pt>
                <c:pt idx="86">
                  <c:v>828.3</c:v>
                </c:pt>
                <c:pt idx="87">
                  <c:v>739.4</c:v>
                </c:pt>
                <c:pt idx="88">
                  <c:v>794.6</c:v>
                </c:pt>
                <c:pt idx="89">
                  <c:v>649.70000000000005</c:v>
                </c:pt>
                <c:pt idx="90">
                  <c:v>589.5</c:v>
                </c:pt>
                <c:pt idx="91">
                  <c:v>544.9</c:v>
                </c:pt>
              </c:numCache>
            </c:numRef>
          </c:val>
          <c:smooth val="0"/>
          <c:extLst>
            <c:ext xmlns:c16="http://schemas.microsoft.com/office/drawing/2014/chart" uri="{C3380CC4-5D6E-409C-BE32-E72D297353CC}">
              <c16:uniqueId val="{00000004-44CB-40BF-830B-A9BF4C21379E}"/>
            </c:ext>
          </c:extLst>
        </c:ser>
        <c:dLbls>
          <c:showLegendKey val="0"/>
          <c:showVal val="0"/>
          <c:showCatName val="0"/>
          <c:showSerName val="0"/>
          <c:showPercent val="0"/>
          <c:showBubbleSize val="0"/>
        </c:dLbls>
        <c:smooth val="0"/>
        <c:axId val="728830863"/>
        <c:axId val="844344191"/>
      </c:lineChart>
      <c:dateAx>
        <c:axId val="72883086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Period </a:t>
                </a:r>
                <a:r>
                  <a:rPr lang="en-US" baseline="0">
                    <a:solidFill>
                      <a:sysClr val="windowText" lastClr="000000"/>
                    </a:solidFill>
                  </a:rPr>
                  <a:t>of Impact</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4344191"/>
        <c:crosses val="autoZero"/>
        <c:auto val="1"/>
        <c:lblOffset val="100"/>
        <c:baseTimeUnit val="days"/>
      </c:dateAx>
      <c:valAx>
        <c:axId val="844344191"/>
        <c:scaling>
          <c:orientation val="minMax"/>
          <c:max val="18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Adult</a:t>
                </a:r>
                <a:r>
                  <a:rPr lang="en-US" baseline="0">
                    <a:solidFill>
                      <a:sysClr val="windowText" lastClr="000000"/>
                    </a:solidFill>
                  </a:rPr>
                  <a:t> Passage Counts 10 Yr avg</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8830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10 Year Average Cumalative Passage Index for Juvenile</a:t>
            </a:r>
            <a:r>
              <a:rPr lang="en-US" baseline="0">
                <a:solidFill>
                  <a:sysClr val="windowText" lastClr="000000"/>
                </a:solidFill>
              </a:rPr>
              <a:t> Fish</a:t>
            </a:r>
            <a:r>
              <a:rPr lang="en-US">
                <a:solidFill>
                  <a:sysClr val="windowText" lastClr="000000"/>
                </a:solidFill>
              </a:rPr>
              <a:t> </a:t>
            </a:r>
            <a:r>
              <a:rPr lang="en-US" baseline="0">
                <a:solidFill>
                  <a:sysClr val="windowText" lastClr="000000"/>
                </a:solidFill>
              </a:rPr>
              <a:t>by Smolt Monitoring Program at Bonneville Lock &amp; Dam</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CH1</c:v>
                </c:pt>
              </c:strCache>
            </c:strRef>
          </c:tx>
          <c:spPr>
            <a:ln w="28575" cap="rnd">
              <a:solidFill>
                <a:schemeClr val="accent1"/>
              </a:solidFill>
              <a:round/>
            </a:ln>
            <a:effectLst/>
          </c:spPr>
          <c:marker>
            <c:symbol val="none"/>
          </c:marker>
          <c:cat>
            <c:numRef>
              <c:f>Sheet1!$A$2:$A$93</c:f>
              <c:numCache>
                <c:formatCode>d\-mmm</c:formatCode>
                <c:ptCount val="92"/>
                <c:pt idx="0">
                  <c:v>45402</c:v>
                </c:pt>
                <c:pt idx="1">
                  <c:v>45403</c:v>
                </c:pt>
                <c:pt idx="2">
                  <c:v>45404</c:v>
                </c:pt>
                <c:pt idx="3">
                  <c:v>45405</c:v>
                </c:pt>
                <c:pt idx="4">
                  <c:v>45406</c:v>
                </c:pt>
                <c:pt idx="5">
                  <c:v>45407</c:v>
                </c:pt>
                <c:pt idx="6">
                  <c:v>45408</c:v>
                </c:pt>
                <c:pt idx="7">
                  <c:v>45409</c:v>
                </c:pt>
                <c:pt idx="8">
                  <c:v>45410</c:v>
                </c:pt>
                <c:pt idx="9">
                  <c:v>45411</c:v>
                </c:pt>
                <c:pt idx="10">
                  <c:v>45412</c:v>
                </c:pt>
                <c:pt idx="11">
                  <c:v>45413</c:v>
                </c:pt>
                <c:pt idx="12">
                  <c:v>45414</c:v>
                </c:pt>
                <c:pt idx="13">
                  <c:v>45415</c:v>
                </c:pt>
                <c:pt idx="14">
                  <c:v>45416</c:v>
                </c:pt>
                <c:pt idx="15">
                  <c:v>45417</c:v>
                </c:pt>
                <c:pt idx="16">
                  <c:v>45418</c:v>
                </c:pt>
                <c:pt idx="17">
                  <c:v>45419</c:v>
                </c:pt>
                <c:pt idx="18">
                  <c:v>45420</c:v>
                </c:pt>
                <c:pt idx="19">
                  <c:v>45421</c:v>
                </c:pt>
                <c:pt idx="20">
                  <c:v>45422</c:v>
                </c:pt>
                <c:pt idx="21">
                  <c:v>45423</c:v>
                </c:pt>
                <c:pt idx="22">
                  <c:v>45424</c:v>
                </c:pt>
                <c:pt idx="23">
                  <c:v>45425</c:v>
                </c:pt>
                <c:pt idx="24">
                  <c:v>45426</c:v>
                </c:pt>
                <c:pt idx="25">
                  <c:v>45427</c:v>
                </c:pt>
                <c:pt idx="26">
                  <c:v>45428</c:v>
                </c:pt>
                <c:pt idx="27">
                  <c:v>45429</c:v>
                </c:pt>
                <c:pt idx="28">
                  <c:v>45430</c:v>
                </c:pt>
                <c:pt idx="29">
                  <c:v>45431</c:v>
                </c:pt>
                <c:pt idx="30">
                  <c:v>45432</c:v>
                </c:pt>
                <c:pt idx="31">
                  <c:v>45433</c:v>
                </c:pt>
                <c:pt idx="32">
                  <c:v>45434</c:v>
                </c:pt>
                <c:pt idx="33">
                  <c:v>45435</c:v>
                </c:pt>
                <c:pt idx="34">
                  <c:v>45436</c:v>
                </c:pt>
                <c:pt idx="35">
                  <c:v>45437</c:v>
                </c:pt>
                <c:pt idx="36">
                  <c:v>45438</c:v>
                </c:pt>
                <c:pt idx="37">
                  <c:v>45439</c:v>
                </c:pt>
                <c:pt idx="38">
                  <c:v>45440</c:v>
                </c:pt>
                <c:pt idx="39">
                  <c:v>45441</c:v>
                </c:pt>
                <c:pt idx="40">
                  <c:v>45442</c:v>
                </c:pt>
                <c:pt idx="41">
                  <c:v>45443</c:v>
                </c:pt>
                <c:pt idx="42">
                  <c:v>45444</c:v>
                </c:pt>
                <c:pt idx="43">
                  <c:v>45445</c:v>
                </c:pt>
                <c:pt idx="44">
                  <c:v>45446</c:v>
                </c:pt>
                <c:pt idx="45">
                  <c:v>45447</c:v>
                </c:pt>
                <c:pt idx="46">
                  <c:v>45448</c:v>
                </c:pt>
                <c:pt idx="47">
                  <c:v>45449</c:v>
                </c:pt>
                <c:pt idx="48">
                  <c:v>45450</c:v>
                </c:pt>
                <c:pt idx="49">
                  <c:v>45451</c:v>
                </c:pt>
                <c:pt idx="50">
                  <c:v>45452</c:v>
                </c:pt>
                <c:pt idx="51">
                  <c:v>45453</c:v>
                </c:pt>
                <c:pt idx="52">
                  <c:v>45454</c:v>
                </c:pt>
                <c:pt idx="53">
                  <c:v>45455</c:v>
                </c:pt>
                <c:pt idx="54">
                  <c:v>45456</c:v>
                </c:pt>
                <c:pt idx="55">
                  <c:v>45457</c:v>
                </c:pt>
                <c:pt idx="56">
                  <c:v>45458</c:v>
                </c:pt>
                <c:pt idx="57">
                  <c:v>45459</c:v>
                </c:pt>
                <c:pt idx="58">
                  <c:v>45460</c:v>
                </c:pt>
                <c:pt idx="59">
                  <c:v>45461</c:v>
                </c:pt>
                <c:pt idx="60">
                  <c:v>45462</c:v>
                </c:pt>
                <c:pt idx="61">
                  <c:v>45463</c:v>
                </c:pt>
                <c:pt idx="62">
                  <c:v>45464</c:v>
                </c:pt>
                <c:pt idx="63">
                  <c:v>45465</c:v>
                </c:pt>
                <c:pt idx="64">
                  <c:v>45466</c:v>
                </c:pt>
                <c:pt idx="65">
                  <c:v>45467</c:v>
                </c:pt>
                <c:pt idx="66">
                  <c:v>45468</c:v>
                </c:pt>
                <c:pt idx="67">
                  <c:v>45469</c:v>
                </c:pt>
                <c:pt idx="68">
                  <c:v>45470</c:v>
                </c:pt>
                <c:pt idx="69">
                  <c:v>45471</c:v>
                </c:pt>
                <c:pt idx="70">
                  <c:v>45472</c:v>
                </c:pt>
                <c:pt idx="71">
                  <c:v>45473</c:v>
                </c:pt>
                <c:pt idx="72">
                  <c:v>45474</c:v>
                </c:pt>
                <c:pt idx="73">
                  <c:v>45475</c:v>
                </c:pt>
                <c:pt idx="74">
                  <c:v>45476</c:v>
                </c:pt>
                <c:pt idx="75">
                  <c:v>45477</c:v>
                </c:pt>
                <c:pt idx="76">
                  <c:v>45478</c:v>
                </c:pt>
                <c:pt idx="77">
                  <c:v>45479</c:v>
                </c:pt>
                <c:pt idx="78">
                  <c:v>45480</c:v>
                </c:pt>
                <c:pt idx="79">
                  <c:v>45481</c:v>
                </c:pt>
                <c:pt idx="80">
                  <c:v>45482</c:v>
                </c:pt>
                <c:pt idx="81">
                  <c:v>45483</c:v>
                </c:pt>
                <c:pt idx="82">
                  <c:v>45484</c:v>
                </c:pt>
                <c:pt idx="83">
                  <c:v>45485</c:v>
                </c:pt>
                <c:pt idx="84">
                  <c:v>45486</c:v>
                </c:pt>
                <c:pt idx="85">
                  <c:v>45487</c:v>
                </c:pt>
                <c:pt idx="86">
                  <c:v>45488</c:v>
                </c:pt>
                <c:pt idx="87">
                  <c:v>45489</c:v>
                </c:pt>
                <c:pt idx="88">
                  <c:v>45490</c:v>
                </c:pt>
                <c:pt idx="89">
                  <c:v>45491</c:v>
                </c:pt>
                <c:pt idx="90">
                  <c:v>45492</c:v>
                </c:pt>
                <c:pt idx="91">
                  <c:v>45493</c:v>
                </c:pt>
              </c:numCache>
            </c:numRef>
          </c:cat>
          <c:val>
            <c:numRef>
              <c:f>Sheet1!$B$2:$B$93</c:f>
              <c:numCache>
                <c:formatCode>General</c:formatCode>
                <c:ptCount val="92"/>
                <c:pt idx="0">
                  <c:v>232228</c:v>
                </c:pt>
                <c:pt idx="1">
                  <c:v>261096</c:v>
                </c:pt>
                <c:pt idx="2">
                  <c:v>297920</c:v>
                </c:pt>
                <c:pt idx="3">
                  <c:v>332971</c:v>
                </c:pt>
                <c:pt idx="4">
                  <c:v>364235</c:v>
                </c:pt>
                <c:pt idx="5">
                  <c:v>403331</c:v>
                </c:pt>
                <c:pt idx="6">
                  <c:v>438698</c:v>
                </c:pt>
                <c:pt idx="7">
                  <c:v>471254</c:v>
                </c:pt>
                <c:pt idx="8">
                  <c:v>508825</c:v>
                </c:pt>
                <c:pt idx="9">
                  <c:v>554074</c:v>
                </c:pt>
                <c:pt idx="10">
                  <c:v>605857</c:v>
                </c:pt>
                <c:pt idx="11">
                  <c:v>659863</c:v>
                </c:pt>
                <c:pt idx="12">
                  <c:v>714324</c:v>
                </c:pt>
                <c:pt idx="13">
                  <c:v>767928</c:v>
                </c:pt>
                <c:pt idx="14">
                  <c:v>818079</c:v>
                </c:pt>
                <c:pt idx="15">
                  <c:v>874987</c:v>
                </c:pt>
                <c:pt idx="16">
                  <c:v>938049</c:v>
                </c:pt>
                <c:pt idx="17">
                  <c:v>1001423</c:v>
                </c:pt>
                <c:pt idx="18">
                  <c:v>1068239</c:v>
                </c:pt>
                <c:pt idx="19">
                  <c:v>1137445</c:v>
                </c:pt>
                <c:pt idx="20">
                  <c:v>1194504</c:v>
                </c:pt>
                <c:pt idx="21">
                  <c:v>1249866</c:v>
                </c:pt>
                <c:pt idx="22">
                  <c:v>1308990</c:v>
                </c:pt>
                <c:pt idx="23">
                  <c:v>1364477</c:v>
                </c:pt>
                <c:pt idx="24">
                  <c:v>1421725</c:v>
                </c:pt>
                <c:pt idx="25">
                  <c:v>1483896</c:v>
                </c:pt>
                <c:pt idx="26">
                  <c:v>1546229</c:v>
                </c:pt>
                <c:pt idx="27">
                  <c:v>1592462</c:v>
                </c:pt>
                <c:pt idx="28">
                  <c:v>1644974</c:v>
                </c:pt>
                <c:pt idx="29">
                  <c:v>1691611</c:v>
                </c:pt>
                <c:pt idx="30">
                  <c:v>1734072</c:v>
                </c:pt>
                <c:pt idx="31">
                  <c:v>1771507</c:v>
                </c:pt>
                <c:pt idx="32">
                  <c:v>1808302</c:v>
                </c:pt>
                <c:pt idx="33">
                  <c:v>1840092</c:v>
                </c:pt>
                <c:pt idx="34">
                  <c:v>1865903</c:v>
                </c:pt>
                <c:pt idx="35">
                  <c:v>1888604</c:v>
                </c:pt>
                <c:pt idx="36">
                  <c:v>1909164</c:v>
                </c:pt>
                <c:pt idx="37">
                  <c:v>1923171</c:v>
                </c:pt>
                <c:pt idx="38">
                  <c:v>1934516</c:v>
                </c:pt>
                <c:pt idx="39">
                  <c:v>1944098</c:v>
                </c:pt>
                <c:pt idx="40">
                  <c:v>1952245</c:v>
                </c:pt>
                <c:pt idx="41">
                  <c:v>1958369</c:v>
                </c:pt>
                <c:pt idx="42">
                  <c:v>1963758</c:v>
                </c:pt>
                <c:pt idx="43">
                  <c:v>1968901</c:v>
                </c:pt>
                <c:pt idx="44">
                  <c:v>1974270</c:v>
                </c:pt>
                <c:pt idx="45">
                  <c:v>1978057</c:v>
                </c:pt>
                <c:pt idx="46">
                  <c:v>1981068</c:v>
                </c:pt>
                <c:pt idx="47">
                  <c:v>1984161</c:v>
                </c:pt>
                <c:pt idx="48">
                  <c:v>1986888</c:v>
                </c:pt>
                <c:pt idx="49">
                  <c:v>1989491</c:v>
                </c:pt>
                <c:pt idx="50">
                  <c:v>1991620</c:v>
                </c:pt>
                <c:pt idx="51">
                  <c:v>1993113</c:v>
                </c:pt>
                <c:pt idx="52">
                  <c:v>1993920</c:v>
                </c:pt>
                <c:pt idx="53">
                  <c:v>1994690</c:v>
                </c:pt>
                <c:pt idx="54">
                  <c:v>1995269</c:v>
                </c:pt>
                <c:pt idx="55">
                  <c:v>1996163</c:v>
                </c:pt>
                <c:pt idx="56">
                  <c:v>1996526</c:v>
                </c:pt>
                <c:pt idx="57">
                  <c:v>1996863</c:v>
                </c:pt>
                <c:pt idx="58">
                  <c:v>1997222</c:v>
                </c:pt>
                <c:pt idx="59">
                  <c:v>1997507</c:v>
                </c:pt>
                <c:pt idx="60">
                  <c:v>1997855</c:v>
                </c:pt>
                <c:pt idx="61">
                  <c:v>1998271</c:v>
                </c:pt>
                <c:pt idx="62">
                  <c:v>1998491</c:v>
                </c:pt>
                <c:pt idx="63">
                  <c:v>1998726</c:v>
                </c:pt>
                <c:pt idx="64">
                  <c:v>1998957</c:v>
                </c:pt>
                <c:pt idx="65">
                  <c:v>1999110</c:v>
                </c:pt>
                <c:pt idx="66">
                  <c:v>1999278</c:v>
                </c:pt>
                <c:pt idx="67">
                  <c:v>1999432</c:v>
                </c:pt>
                <c:pt idx="68">
                  <c:v>1999596</c:v>
                </c:pt>
                <c:pt idx="69">
                  <c:v>1999715</c:v>
                </c:pt>
                <c:pt idx="70">
                  <c:v>1999924</c:v>
                </c:pt>
                <c:pt idx="71">
                  <c:v>2000000</c:v>
                </c:pt>
              </c:numCache>
            </c:numRef>
          </c:val>
          <c:smooth val="0"/>
          <c:extLst>
            <c:ext xmlns:c16="http://schemas.microsoft.com/office/drawing/2014/chart" uri="{C3380CC4-5D6E-409C-BE32-E72D297353CC}">
              <c16:uniqueId val="{00000000-E49D-4C55-BFB6-F1259A3D9F12}"/>
            </c:ext>
          </c:extLst>
        </c:ser>
        <c:ser>
          <c:idx val="1"/>
          <c:order val="1"/>
          <c:tx>
            <c:strRef>
              <c:f>Sheet1!$C$1</c:f>
              <c:strCache>
                <c:ptCount val="1"/>
                <c:pt idx="0">
                  <c:v>CH0</c:v>
                </c:pt>
              </c:strCache>
            </c:strRef>
          </c:tx>
          <c:spPr>
            <a:ln w="28575" cap="rnd">
              <a:solidFill>
                <a:schemeClr val="accent2"/>
              </a:solidFill>
              <a:round/>
            </a:ln>
            <a:effectLst/>
          </c:spPr>
          <c:marker>
            <c:symbol val="none"/>
          </c:marker>
          <c:cat>
            <c:numRef>
              <c:f>Sheet1!$A$2:$A$93</c:f>
              <c:numCache>
                <c:formatCode>d\-mmm</c:formatCode>
                <c:ptCount val="92"/>
                <c:pt idx="0">
                  <c:v>45402</c:v>
                </c:pt>
                <c:pt idx="1">
                  <c:v>45403</c:v>
                </c:pt>
                <c:pt idx="2">
                  <c:v>45404</c:v>
                </c:pt>
                <c:pt idx="3">
                  <c:v>45405</c:v>
                </c:pt>
                <c:pt idx="4">
                  <c:v>45406</c:v>
                </c:pt>
                <c:pt idx="5">
                  <c:v>45407</c:v>
                </c:pt>
                <c:pt idx="6">
                  <c:v>45408</c:v>
                </c:pt>
                <c:pt idx="7">
                  <c:v>45409</c:v>
                </c:pt>
                <c:pt idx="8">
                  <c:v>45410</c:v>
                </c:pt>
                <c:pt idx="9">
                  <c:v>45411</c:v>
                </c:pt>
                <c:pt idx="10">
                  <c:v>45412</c:v>
                </c:pt>
                <c:pt idx="11">
                  <c:v>45413</c:v>
                </c:pt>
                <c:pt idx="12">
                  <c:v>45414</c:v>
                </c:pt>
                <c:pt idx="13">
                  <c:v>45415</c:v>
                </c:pt>
                <c:pt idx="14">
                  <c:v>45416</c:v>
                </c:pt>
                <c:pt idx="15">
                  <c:v>45417</c:v>
                </c:pt>
                <c:pt idx="16">
                  <c:v>45418</c:v>
                </c:pt>
                <c:pt idx="17">
                  <c:v>45419</c:v>
                </c:pt>
                <c:pt idx="18">
                  <c:v>45420</c:v>
                </c:pt>
                <c:pt idx="19">
                  <c:v>45421</c:v>
                </c:pt>
                <c:pt idx="20">
                  <c:v>45422</c:v>
                </c:pt>
                <c:pt idx="21">
                  <c:v>45423</c:v>
                </c:pt>
                <c:pt idx="22">
                  <c:v>45424</c:v>
                </c:pt>
                <c:pt idx="23">
                  <c:v>45425</c:v>
                </c:pt>
                <c:pt idx="24">
                  <c:v>45426</c:v>
                </c:pt>
                <c:pt idx="25">
                  <c:v>45427</c:v>
                </c:pt>
                <c:pt idx="26">
                  <c:v>45428</c:v>
                </c:pt>
                <c:pt idx="27">
                  <c:v>45429</c:v>
                </c:pt>
                <c:pt idx="28">
                  <c:v>45430</c:v>
                </c:pt>
                <c:pt idx="29">
                  <c:v>45431</c:v>
                </c:pt>
                <c:pt idx="30">
                  <c:v>45432</c:v>
                </c:pt>
                <c:pt idx="31">
                  <c:v>45433</c:v>
                </c:pt>
                <c:pt idx="32">
                  <c:v>45434</c:v>
                </c:pt>
                <c:pt idx="33">
                  <c:v>45435</c:v>
                </c:pt>
                <c:pt idx="34">
                  <c:v>45436</c:v>
                </c:pt>
                <c:pt idx="35">
                  <c:v>45437</c:v>
                </c:pt>
                <c:pt idx="36">
                  <c:v>45438</c:v>
                </c:pt>
                <c:pt idx="37">
                  <c:v>45439</c:v>
                </c:pt>
                <c:pt idx="38">
                  <c:v>45440</c:v>
                </c:pt>
                <c:pt idx="39">
                  <c:v>45441</c:v>
                </c:pt>
                <c:pt idx="40">
                  <c:v>45442</c:v>
                </c:pt>
                <c:pt idx="41">
                  <c:v>45443</c:v>
                </c:pt>
                <c:pt idx="42">
                  <c:v>45444</c:v>
                </c:pt>
                <c:pt idx="43">
                  <c:v>45445</c:v>
                </c:pt>
                <c:pt idx="44">
                  <c:v>45446</c:v>
                </c:pt>
                <c:pt idx="45">
                  <c:v>45447</c:v>
                </c:pt>
                <c:pt idx="46">
                  <c:v>45448</c:v>
                </c:pt>
                <c:pt idx="47">
                  <c:v>45449</c:v>
                </c:pt>
                <c:pt idx="48">
                  <c:v>45450</c:v>
                </c:pt>
                <c:pt idx="49">
                  <c:v>45451</c:v>
                </c:pt>
                <c:pt idx="50">
                  <c:v>45452</c:v>
                </c:pt>
                <c:pt idx="51">
                  <c:v>45453</c:v>
                </c:pt>
                <c:pt idx="52">
                  <c:v>45454</c:v>
                </c:pt>
                <c:pt idx="53">
                  <c:v>45455</c:v>
                </c:pt>
                <c:pt idx="54">
                  <c:v>45456</c:v>
                </c:pt>
                <c:pt idx="55">
                  <c:v>45457</c:v>
                </c:pt>
                <c:pt idx="56">
                  <c:v>45458</c:v>
                </c:pt>
                <c:pt idx="57">
                  <c:v>45459</c:v>
                </c:pt>
                <c:pt idx="58">
                  <c:v>45460</c:v>
                </c:pt>
                <c:pt idx="59">
                  <c:v>45461</c:v>
                </c:pt>
                <c:pt idx="60">
                  <c:v>45462</c:v>
                </c:pt>
                <c:pt idx="61">
                  <c:v>45463</c:v>
                </c:pt>
                <c:pt idx="62">
                  <c:v>45464</c:v>
                </c:pt>
                <c:pt idx="63">
                  <c:v>45465</c:v>
                </c:pt>
                <c:pt idx="64">
                  <c:v>45466</c:v>
                </c:pt>
                <c:pt idx="65">
                  <c:v>45467</c:v>
                </c:pt>
                <c:pt idx="66">
                  <c:v>45468</c:v>
                </c:pt>
                <c:pt idx="67">
                  <c:v>45469</c:v>
                </c:pt>
                <c:pt idx="68">
                  <c:v>45470</c:v>
                </c:pt>
                <c:pt idx="69">
                  <c:v>45471</c:v>
                </c:pt>
                <c:pt idx="70">
                  <c:v>45472</c:v>
                </c:pt>
                <c:pt idx="71">
                  <c:v>45473</c:v>
                </c:pt>
                <c:pt idx="72">
                  <c:v>45474</c:v>
                </c:pt>
                <c:pt idx="73">
                  <c:v>45475</c:v>
                </c:pt>
                <c:pt idx="74">
                  <c:v>45476</c:v>
                </c:pt>
                <c:pt idx="75">
                  <c:v>45477</c:v>
                </c:pt>
                <c:pt idx="76">
                  <c:v>45478</c:v>
                </c:pt>
                <c:pt idx="77">
                  <c:v>45479</c:v>
                </c:pt>
                <c:pt idx="78">
                  <c:v>45480</c:v>
                </c:pt>
                <c:pt idx="79">
                  <c:v>45481</c:v>
                </c:pt>
                <c:pt idx="80">
                  <c:v>45482</c:v>
                </c:pt>
                <c:pt idx="81">
                  <c:v>45483</c:v>
                </c:pt>
                <c:pt idx="82">
                  <c:v>45484</c:v>
                </c:pt>
                <c:pt idx="83">
                  <c:v>45485</c:v>
                </c:pt>
                <c:pt idx="84">
                  <c:v>45486</c:v>
                </c:pt>
                <c:pt idx="85">
                  <c:v>45487</c:v>
                </c:pt>
                <c:pt idx="86">
                  <c:v>45488</c:v>
                </c:pt>
                <c:pt idx="87">
                  <c:v>45489</c:v>
                </c:pt>
                <c:pt idx="88">
                  <c:v>45490</c:v>
                </c:pt>
                <c:pt idx="89">
                  <c:v>45491</c:v>
                </c:pt>
                <c:pt idx="90">
                  <c:v>45492</c:v>
                </c:pt>
                <c:pt idx="91">
                  <c:v>45493</c:v>
                </c:pt>
              </c:numCache>
            </c:numRef>
          </c:cat>
          <c:val>
            <c:numRef>
              <c:f>Sheet1!$C$2:$C$93</c:f>
              <c:numCache>
                <c:formatCode>General</c:formatCode>
                <c:ptCount val="92"/>
                <c:pt idx="42">
                  <c:v>8671</c:v>
                </c:pt>
                <c:pt idx="43">
                  <c:v>19311</c:v>
                </c:pt>
                <c:pt idx="44">
                  <c:v>30456</c:v>
                </c:pt>
                <c:pt idx="45">
                  <c:v>43244</c:v>
                </c:pt>
                <c:pt idx="46">
                  <c:v>58572</c:v>
                </c:pt>
                <c:pt idx="47">
                  <c:v>77107</c:v>
                </c:pt>
                <c:pt idx="48">
                  <c:v>103024</c:v>
                </c:pt>
                <c:pt idx="49">
                  <c:v>126576</c:v>
                </c:pt>
                <c:pt idx="50">
                  <c:v>148996</c:v>
                </c:pt>
                <c:pt idx="51">
                  <c:v>167282</c:v>
                </c:pt>
                <c:pt idx="52">
                  <c:v>185812</c:v>
                </c:pt>
                <c:pt idx="53">
                  <c:v>202568</c:v>
                </c:pt>
                <c:pt idx="54">
                  <c:v>218748</c:v>
                </c:pt>
                <c:pt idx="55">
                  <c:v>233728</c:v>
                </c:pt>
                <c:pt idx="56">
                  <c:v>247165</c:v>
                </c:pt>
                <c:pt idx="57">
                  <c:v>263293</c:v>
                </c:pt>
                <c:pt idx="58">
                  <c:v>277855</c:v>
                </c:pt>
                <c:pt idx="59">
                  <c:v>290394</c:v>
                </c:pt>
                <c:pt idx="60">
                  <c:v>305140</c:v>
                </c:pt>
                <c:pt idx="61">
                  <c:v>324207</c:v>
                </c:pt>
                <c:pt idx="62">
                  <c:v>341953</c:v>
                </c:pt>
                <c:pt idx="63">
                  <c:v>361444</c:v>
                </c:pt>
                <c:pt idx="64">
                  <c:v>382258</c:v>
                </c:pt>
                <c:pt idx="65">
                  <c:v>406128</c:v>
                </c:pt>
                <c:pt idx="66">
                  <c:v>435761</c:v>
                </c:pt>
                <c:pt idx="67">
                  <c:v>470377</c:v>
                </c:pt>
                <c:pt idx="68">
                  <c:v>515557</c:v>
                </c:pt>
                <c:pt idx="69">
                  <c:v>560182</c:v>
                </c:pt>
                <c:pt idx="70">
                  <c:v>599156</c:v>
                </c:pt>
                <c:pt idx="71">
                  <c:v>663476</c:v>
                </c:pt>
                <c:pt idx="72">
                  <c:v>707864</c:v>
                </c:pt>
                <c:pt idx="73">
                  <c:v>769455</c:v>
                </c:pt>
                <c:pt idx="74">
                  <c:v>815653</c:v>
                </c:pt>
                <c:pt idx="75">
                  <c:v>886831</c:v>
                </c:pt>
                <c:pt idx="76">
                  <c:v>945964</c:v>
                </c:pt>
                <c:pt idx="77">
                  <c:v>1012091</c:v>
                </c:pt>
                <c:pt idx="78">
                  <c:v>1067767</c:v>
                </c:pt>
                <c:pt idx="79">
                  <c:v>1122214</c:v>
                </c:pt>
                <c:pt idx="80">
                  <c:v>1182682</c:v>
                </c:pt>
                <c:pt idx="81">
                  <c:v>1245056</c:v>
                </c:pt>
                <c:pt idx="82">
                  <c:v>1283394</c:v>
                </c:pt>
                <c:pt idx="83">
                  <c:v>1344836</c:v>
                </c:pt>
                <c:pt idx="84">
                  <c:v>1391754</c:v>
                </c:pt>
                <c:pt idx="85">
                  <c:v>1441554</c:v>
                </c:pt>
                <c:pt idx="86">
                  <c:v>1484197</c:v>
                </c:pt>
                <c:pt idx="87">
                  <c:v>1523076</c:v>
                </c:pt>
                <c:pt idx="88">
                  <c:v>1566415</c:v>
                </c:pt>
                <c:pt idx="89">
                  <c:v>1601961</c:v>
                </c:pt>
                <c:pt idx="90">
                  <c:v>1631794</c:v>
                </c:pt>
                <c:pt idx="91">
                  <c:v>1675168</c:v>
                </c:pt>
              </c:numCache>
            </c:numRef>
          </c:val>
          <c:smooth val="0"/>
          <c:extLst>
            <c:ext xmlns:c16="http://schemas.microsoft.com/office/drawing/2014/chart" uri="{C3380CC4-5D6E-409C-BE32-E72D297353CC}">
              <c16:uniqueId val="{00000001-E49D-4C55-BFB6-F1259A3D9F12}"/>
            </c:ext>
          </c:extLst>
        </c:ser>
        <c:ser>
          <c:idx val="2"/>
          <c:order val="2"/>
          <c:tx>
            <c:strRef>
              <c:f>Sheet1!$D$1</c:f>
              <c:strCache>
                <c:ptCount val="1"/>
                <c:pt idx="0">
                  <c:v>Stlhd</c:v>
                </c:pt>
              </c:strCache>
            </c:strRef>
          </c:tx>
          <c:spPr>
            <a:ln w="28575" cap="rnd">
              <a:solidFill>
                <a:schemeClr val="accent3"/>
              </a:solidFill>
              <a:round/>
            </a:ln>
            <a:effectLst/>
          </c:spPr>
          <c:marker>
            <c:symbol val="none"/>
          </c:marker>
          <c:cat>
            <c:numRef>
              <c:f>Sheet1!$A$2:$A$93</c:f>
              <c:numCache>
                <c:formatCode>d\-mmm</c:formatCode>
                <c:ptCount val="92"/>
                <c:pt idx="0">
                  <c:v>45402</c:v>
                </c:pt>
                <c:pt idx="1">
                  <c:v>45403</c:v>
                </c:pt>
                <c:pt idx="2">
                  <c:v>45404</c:v>
                </c:pt>
                <c:pt idx="3">
                  <c:v>45405</c:v>
                </c:pt>
                <c:pt idx="4">
                  <c:v>45406</c:v>
                </c:pt>
                <c:pt idx="5">
                  <c:v>45407</c:v>
                </c:pt>
                <c:pt idx="6">
                  <c:v>45408</c:v>
                </c:pt>
                <c:pt idx="7">
                  <c:v>45409</c:v>
                </c:pt>
                <c:pt idx="8">
                  <c:v>45410</c:v>
                </c:pt>
                <c:pt idx="9">
                  <c:v>45411</c:v>
                </c:pt>
                <c:pt idx="10">
                  <c:v>45412</c:v>
                </c:pt>
                <c:pt idx="11">
                  <c:v>45413</c:v>
                </c:pt>
                <c:pt idx="12">
                  <c:v>45414</c:v>
                </c:pt>
                <c:pt idx="13">
                  <c:v>45415</c:v>
                </c:pt>
                <c:pt idx="14">
                  <c:v>45416</c:v>
                </c:pt>
                <c:pt idx="15">
                  <c:v>45417</c:v>
                </c:pt>
                <c:pt idx="16">
                  <c:v>45418</c:v>
                </c:pt>
                <c:pt idx="17">
                  <c:v>45419</c:v>
                </c:pt>
                <c:pt idx="18">
                  <c:v>45420</c:v>
                </c:pt>
                <c:pt idx="19">
                  <c:v>45421</c:v>
                </c:pt>
                <c:pt idx="20">
                  <c:v>45422</c:v>
                </c:pt>
                <c:pt idx="21">
                  <c:v>45423</c:v>
                </c:pt>
                <c:pt idx="22">
                  <c:v>45424</c:v>
                </c:pt>
                <c:pt idx="23">
                  <c:v>45425</c:v>
                </c:pt>
                <c:pt idx="24">
                  <c:v>45426</c:v>
                </c:pt>
                <c:pt idx="25">
                  <c:v>45427</c:v>
                </c:pt>
                <c:pt idx="26">
                  <c:v>45428</c:v>
                </c:pt>
                <c:pt idx="27">
                  <c:v>45429</c:v>
                </c:pt>
                <c:pt idx="28">
                  <c:v>45430</c:v>
                </c:pt>
                <c:pt idx="29">
                  <c:v>45431</c:v>
                </c:pt>
                <c:pt idx="30">
                  <c:v>45432</c:v>
                </c:pt>
                <c:pt idx="31">
                  <c:v>45433</c:v>
                </c:pt>
                <c:pt idx="32">
                  <c:v>45434</c:v>
                </c:pt>
                <c:pt idx="33">
                  <c:v>45435</c:v>
                </c:pt>
                <c:pt idx="34">
                  <c:v>45436</c:v>
                </c:pt>
                <c:pt idx="35">
                  <c:v>45437</c:v>
                </c:pt>
                <c:pt idx="36">
                  <c:v>45438</c:v>
                </c:pt>
                <c:pt idx="37">
                  <c:v>45439</c:v>
                </c:pt>
                <c:pt idx="38">
                  <c:v>45440</c:v>
                </c:pt>
                <c:pt idx="39">
                  <c:v>45441</c:v>
                </c:pt>
                <c:pt idx="40">
                  <c:v>45442</c:v>
                </c:pt>
                <c:pt idx="41">
                  <c:v>45443</c:v>
                </c:pt>
                <c:pt idx="42">
                  <c:v>45444</c:v>
                </c:pt>
                <c:pt idx="43">
                  <c:v>45445</c:v>
                </c:pt>
                <c:pt idx="44">
                  <c:v>45446</c:v>
                </c:pt>
                <c:pt idx="45">
                  <c:v>45447</c:v>
                </c:pt>
                <c:pt idx="46">
                  <c:v>45448</c:v>
                </c:pt>
                <c:pt idx="47">
                  <c:v>45449</c:v>
                </c:pt>
                <c:pt idx="48">
                  <c:v>45450</c:v>
                </c:pt>
                <c:pt idx="49">
                  <c:v>45451</c:v>
                </c:pt>
                <c:pt idx="50">
                  <c:v>45452</c:v>
                </c:pt>
                <c:pt idx="51">
                  <c:v>45453</c:v>
                </c:pt>
                <c:pt idx="52">
                  <c:v>45454</c:v>
                </c:pt>
                <c:pt idx="53">
                  <c:v>45455</c:v>
                </c:pt>
                <c:pt idx="54">
                  <c:v>45456</c:v>
                </c:pt>
                <c:pt idx="55">
                  <c:v>45457</c:v>
                </c:pt>
                <c:pt idx="56">
                  <c:v>45458</c:v>
                </c:pt>
                <c:pt idx="57">
                  <c:v>45459</c:v>
                </c:pt>
                <c:pt idx="58">
                  <c:v>45460</c:v>
                </c:pt>
                <c:pt idx="59">
                  <c:v>45461</c:v>
                </c:pt>
                <c:pt idx="60">
                  <c:v>45462</c:v>
                </c:pt>
                <c:pt idx="61">
                  <c:v>45463</c:v>
                </c:pt>
                <c:pt idx="62">
                  <c:v>45464</c:v>
                </c:pt>
                <c:pt idx="63">
                  <c:v>45465</c:v>
                </c:pt>
                <c:pt idx="64">
                  <c:v>45466</c:v>
                </c:pt>
                <c:pt idx="65">
                  <c:v>45467</c:v>
                </c:pt>
                <c:pt idx="66">
                  <c:v>45468</c:v>
                </c:pt>
                <c:pt idx="67">
                  <c:v>45469</c:v>
                </c:pt>
                <c:pt idx="68">
                  <c:v>45470</c:v>
                </c:pt>
                <c:pt idx="69">
                  <c:v>45471</c:v>
                </c:pt>
                <c:pt idx="70">
                  <c:v>45472</c:v>
                </c:pt>
                <c:pt idx="71">
                  <c:v>45473</c:v>
                </c:pt>
                <c:pt idx="72">
                  <c:v>45474</c:v>
                </c:pt>
                <c:pt idx="73">
                  <c:v>45475</c:v>
                </c:pt>
                <c:pt idx="74">
                  <c:v>45476</c:v>
                </c:pt>
                <c:pt idx="75">
                  <c:v>45477</c:v>
                </c:pt>
                <c:pt idx="76">
                  <c:v>45478</c:v>
                </c:pt>
                <c:pt idx="77">
                  <c:v>45479</c:v>
                </c:pt>
                <c:pt idx="78">
                  <c:v>45480</c:v>
                </c:pt>
                <c:pt idx="79">
                  <c:v>45481</c:v>
                </c:pt>
                <c:pt idx="80">
                  <c:v>45482</c:v>
                </c:pt>
                <c:pt idx="81">
                  <c:v>45483</c:v>
                </c:pt>
                <c:pt idx="82">
                  <c:v>45484</c:v>
                </c:pt>
                <c:pt idx="83">
                  <c:v>45485</c:v>
                </c:pt>
                <c:pt idx="84">
                  <c:v>45486</c:v>
                </c:pt>
                <c:pt idx="85">
                  <c:v>45487</c:v>
                </c:pt>
                <c:pt idx="86">
                  <c:v>45488</c:v>
                </c:pt>
                <c:pt idx="87">
                  <c:v>45489</c:v>
                </c:pt>
                <c:pt idx="88">
                  <c:v>45490</c:v>
                </c:pt>
                <c:pt idx="89">
                  <c:v>45491</c:v>
                </c:pt>
                <c:pt idx="90">
                  <c:v>45492</c:v>
                </c:pt>
                <c:pt idx="91">
                  <c:v>45493</c:v>
                </c:pt>
              </c:numCache>
            </c:numRef>
          </c:cat>
          <c:val>
            <c:numRef>
              <c:f>Sheet1!$D$2:$D$93</c:f>
              <c:numCache>
                <c:formatCode>General</c:formatCode>
                <c:ptCount val="92"/>
                <c:pt idx="0">
                  <c:v>18520</c:v>
                </c:pt>
                <c:pt idx="1">
                  <c:v>22771</c:v>
                </c:pt>
                <c:pt idx="2">
                  <c:v>27742</c:v>
                </c:pt>
                <c:pt idx="3">
                  <c:v>31345</c:v>
                </c:pt>
                <c:pt idx="4">
                  <c:v>35322</c:v>
                </c:pt>
                <c:pt idx="5">
                  <c:v>39656</c:v>
                </c:pt>
                <c:pt idx="6">
                  <c:v>45784</c:v>
                </c:pt>
                <c:pt idx="7">
                  <c:v>53241</c:v>
                </c:pt>
                <c:pt idx="8">
                  <c:v>63918</c:v>
                </c:pt>
                <c:pt idx="9">
                  <c:v>78694</c:v>
                </c:pt>
                <c:pt idx="10">
                  <c:v>98579</c:v>
                </c:pt>
                <c:pt idx="11">
                  <c:v>118848</c:v>
                </c:pt>
                <c:pt idx="12">
                  <c:v>136649</c:v>
                </c:pt>
                <c:pt idx="13">
                  <c:v>153201</c:v>
                </c:pt>
                <c:pt idx="14">
                  <c:v>169643</c:v>
                </c:pt>
                <c:pt idx="15">
                  <c:v>190710</c:v>
                </c:pt>
                <c:pt idx="16">
                  <c:v>210274</c:v>
                </c:pt>
                <c:pt idx="17">
                  <c:v>230991</c:v>
                </c:pt>
                <c:pt idx="18">
                  <c:v>253208</c:v>
                </c:pt>
                <c:pt idx="19">
                  <c:v>272894</c:v>
                </c:pt>
                <c:pt idx="20">
                  <c:v>291429</c:v>
                </c:pt>
                <c:pt idx="21">
                  <c:v>305410</c:v>
                </c:pt>
                <c:pt idx="22">
                  <c:v>320562</c:v>
                </c:pt>
                <c:pt idx="23">
                  <c:v>335573</c:v>
                </c:pt>
                <c:pt idx="24">
                  <c:v>348602</c:v>
                </c:pt>
                <c:pt idx="25">
                  <c:v>362914</c:v>
                </c:pt>
                <c:pt idx="26">
                  <c:v>377232</c:v>
                </c:pt>
                <c:pt idx="27">
                  <c:v>390359</c:v>
                </c:pt>
                <c:pt idx="28">
                  <c:v>403716</c:v>
                </c:pt>
                <c:pt idx="29">
                  <c:v>413477</c:v>
                </c:pt>
                <c:pt idx="30">
                  <c:v>422048</c:v>
                </c:pt>
                <c:pt idx="31">
                  <c:v>428990</c:v>
                </c:pt>
                <c:pt idx="32">
                  <c:v>434876</c:v>
                </c:pt>
                <c:pt idx="33">
                  <c:v>443250</c:v>
                </c:pt>
                <c:pt idx="34">
                  <c:v>451282</c:v>
                </c:pt>
                <c:pt idx="35">
                  <c:v>457573</c:v>
                </c:pt>
                <c:pt idx="36">
                  <c:v>462750</c:v>
                </c:pt>
                <c:pt idx="37">
                  <c:v>466058</c:v>
                </c:pt>
                <c:pt idx="38">
                  <c:v>469526</c:v>
                </c:pt>
                <c:pt idx="39">
                  <c:v>472965</c:v>
                </c:pt>
                <c:pt idx="40">
                  <c:v>475783</c:v>
                </c:pt>
                <c:pt idx="41">
                  <c:v>478203</c:v>
                </c:pt>
                <c:pt idx="42">
                  <c:v>480246</c:v>
                </c:pt>
                <c:pt idx="43">
                  <c:v>482391</c:v>
                </c:pt>
                <c:pt idx="44">
                  <c:v>484643</c:v>
                </c:pt>
                <c:pt idx="45">
                  <c:v>486188</c:v>
                </c:pt>
                <c:pt idx="46">
                  <c:v>487488</c:v>
                </c:pt>
                <c:pt idx="47">
                  <c:v>488686</c:v>
                </c:pt>
                <c:pt idx="48">
                  <c:v>490091</c:v>
                </c:pt>
                <c:pt idx="49">
                  <c:v>491268</c:v>
                </c:pt>
                <c:pt idx="50">
                  <c:v>492444</c:v>
                </c:pt>
                <c:pt idx="51">
                  <c:v>493386</c:v>
                </c:pt>
                <c:pt idx="52">
                  <c:v>494030</c:v>
                </c:pt>
                <c:pt idx="53">
                  <c:v>494715</c:v>
                </c:pt>
                <c:pt idx="54">
                  <c:v>495483</c:v>
                </c:pt>
                <c:pt idx="55">
                  <c:v>495844</c:v>
                </c:pt>
                <c:pt idx="56">
                  <c:v>496148</c:v>
                </c:pt>
                <c:pt idx="57">
                  <c:v>496530</c:v>
                </c:pt>
                <c:pt idx="58">
                  <c:v>496916</c:v>
                </c:pt>
                <c:pt idx="59">
                  <c:v>497384</c:v>
                </c:pt>
                <c:pt idx="60">
                  <c:v>497625</c:v>
                </c:pt>
                <c:pt idx="61">
                  <c:v>497948</c:v>
                </c:pt>
                <c:pt idx="62">
                  <c:v>498257</c:v>
                </c:pt>
                <c:pt idx="63">
                  <c:v>498471</c:v>
                </c:pt>
                <c:pt idx="64">
                  <c:v>498724</c:v>
                </c:pt>
                <c:pt idx="65">
                  <c:v>498968</c:v>
                </c:pt>
                <c:pt idx="66">
                  <c:v>499113</c:v>
                </c:pt>
                <c:pt idx="67">
                  <c:v>499383</c:v>
                </c:pt>
                <c:pt idx="68">
                  <c:v>499535</c:v>
                </c:pt>
                <c:pt idx="69">
                  <c:v>499708</c:v>
                </c:pt>
                <c:pt idx="70">
                  <c:v>499830</c:v>
                </c:pt>
                <c:pt idx="71">
                  <c:v>500000</c:v>
                </c:pt>
              </c:numCache>
            </c:numRef>
          </c:val>
          <c:smooth val="0"/>
          <c:extLst>
            <c:ext xmlns:c16="http://schemas.microsoft.com/office/drawing/2014/chart" uri="{C3380CC4-5D6E-409C-BE32-E72D297353CC}">
              <c16:uniqueId val="{00000002-E49D-4C55-BFB6-F1259A3D9F12}"/>
            </c:ext>
          </c:extLst>
        </c:ser>
        <c:dLbls>
          <c:showLegendKey val="0"/>
          <c:showVal val="0"/>
          <c:showCatName val="0"/>
          <c:showSerName val="0"/>
          <c:showPercent val="0"/>
          <c:showBubbleSize val="0"/>
        </c:dLbls>
        <c:smooth val="0"/>
        <c:axId val="484957087"/>
        <c:axId val="2039458815"/>
      </c:lineChart>
      <c:dateAx>
        <c:axId val="48495708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Period of Impact</a:t>
                </a:r>
              </a:p>
            </c:rich>
          </c:tx>
          <c:layout>
            <c:manualLayout>
              <c:xMode val="edge"/>
              <c:yMode val="edge"/>
              <c:x val="0.42684591656089937"/>
              <c:y val="0.8347768325205997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39458815"/>
        <c:crosses val="autoZero"/>
        <c:auto val="1"/>
        <c:lblOffset val="100"/>
        <c:baseTimeUnit val="days"/>
      </c:dateAx>
      <c:valAx>
        <c:axId val="2039458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10 Yr Avg</a:t>
                </a:r>
                <a:r>
                  <a:rPr lang="en-US" baseline="0">
                    <a:solidFill>
                      <a:sysClr val="windowText" lastClr="000000"/>
                    </a:solidFill>
                  </a:rPr>
                  <a:t> Cumalative Passage Index</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4957087"/>
        <c:crosses val="autoZero"/>
        <c:crossBetween val="between"/>
      </c:valAx>
      <c:spPr>
        <a:noFill/>
        <a:ln>
          <a:noFill/>
        </a:ln>
        <a:effectLst/>
      </c:spPr>
    </c:plotArea>
    <c:legend>
      <c:legendPos val="b"/>
      <c:layout>
        <c:manualLayout>
          <c:xMode val="edge"/>
          <c:yMode val="edge"/>
          <c:x val="0.26666568087439774"/>
          <c:y val="0.88089309211683675"/>
          <c:w val="0.43614801670917897"/>
          <c:h val="8.990169794459339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12734</CharactersWithSpaces>
  <SharedDoc>false</SharedDoc>
  <HLinks>
    <vt:vector size="6" baseType="variant">
      <vt:variant>
        <vt:i4>131190</vt:i4>
      </vt:variant>
      <vt:variant>
        <vt:i4>0</vt:i4>
      </vt:variant>
      <vt:variant>
        <vt:i4>0</vt:i4>
      </vt:variant>
      <vt:variant>
        <vt:i4>5</vt:i4>
      </vt:variant>
      <vt:variant>
        <vt:lpwstr>mailto:Erin.H.Kovalchuk@usace.army.mil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Madson, Patricia L CIV USARMY CENWP (USA)</cp:lastModifiedBy>
  <cp:revision>8</cp:revision>
  <dcterms:created xsi:type="dcterms:W3CDTF">2024-03-26T00:04:00Z</dcterms:created>
  <dcterms:modified xsi:type="dcterms:W3CDTF">2024-03-26T19:39:00Z</dcterms:modified>
</cp:coreProperties>
</file>