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FC2F" w14:textId="7D0824C6"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72C95C88" w14:textId="3BE96A08"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181A58">
        <w:t>20</w:t>
      </w:r>
      <w:r w:rsidR="004F3C5B">
        <w:t>IHR</w:t>
      </w:r>
      <w:r w:rsidR="001C3221">
        <w:t>003</w:t>
      </w:r>
      <w:r w:rsidR="00943B3B">
        <w:t xml:space="preserve"> –</w:t>
      </w:r>
      <w:r w:rsidR="00244F0A">
        <w:t xml:space="preserve"> </w:t>
      </w:r>
      <w:r w:rsidR="00301E3B">
        <w:t xml:space="preserve">Position of Operating Gates </w:t>
      </w:r>
      <w:r w:rsidR="005D05C8">
        <w:tab/>
      </w:r>
      <w:r w:rsidR="00237214" w:rsidRPr="00237214">
        <w:t xml:space="preserve"> </w:t>
      </w:r>
    </w:p>
    <w:p w14:paraId="31EFB5DC" w14:textId="327DC742"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F7FBA">
        <w:t>July 7</w:t>
      </w:r>
      <w:r w:rsidR="004549D5">
        <w:t>, 20</w:t>
      </w:r>
      <w:r w:rsidR="004F3C5B">
        <w:t>20</w:t>
      </w:r>
    </w:p>
    <w:p w14:paraId="5420747D" w14:textId="37A936C7" w:rsidR="0052535B" w:rsidRPr="009C6814" w:rsidRDefault="0052535B" w:rsidP="00EB3394">
      <w:r w:rsidRPr="009C6814">
        <w:rPr>
          <w:b/>
        </w:rPr>
        <w:t>Project</w:t>
      </w:r>
      <w:r w:rsidRPr="009C6814">
        <w:t>:</w:t>
      </w:r>
      <w:r w:rsidR="005D05C8">
        <w:tab/>
      </w:r>
      <w:r w:rsidR="005D05C8">
        <w:tab/>
      </w:r>
      <w:r w:rsidR="005D05C8">
        <w:tab/>
      </w:r>
      <w:r w:rsidR="004F3C5B">
        <w:t>Ice Harbor Dam</w:t>
      </w:r>
    </w:p>
    <w:p w14:paraId="7C21C8C2" w14:textId="77777777" w:rsidR="00CD704F" w:rsidRDefault="00B1230A" w:rsidP="00EB3394">
      <w:r w:rsidRPr="009C6814">
        <w:rPr>
          <w:b/>
        </w:rPr>
        <w:t>Requester Name, Agency</w:t>
      </w:r>
      <w:r w:rsidR="00CD704F" w:rsidRPr="009C6814">
        <w:t>:</w:t>
      </w:r>
      <w:r w:rsidR="005D05C8">
        <w:tab/>
      </w:r>
      <w:r w:rsidR="001948EA">
        <w:rPr>
          <w:spacing w:val="-1"/>
        </w:rPr>
        <w:t>Karl Anderson</w:t>
      </w:r>
      <w:r w:rsidR="00301E3B">
        <w:rPr>
          <w:spacing w:val="-1"/>
        </w:rPr>
        <w:t>,</w:t>
      </w:r>
      <w:r w:rsidR="00301E3B">
        <w:t xml:space="preserve"> USACE</w:t>
      </w:r>
      <w:r w:rsidR="00301E3B">
        <w:rPr>
          <w:spacing w:val="1"/>
        </w:rPr>
        <w:t xml:space="preserve"> </w:t>
      </w:r>
      <w:r w:rsidR="00301E3B">
        <w:t>-</w:t>
      </w:r>
      <w:r w:rsidR="00301E3B">
        <w:rPr>
          <w:spacing w:val="-1"/>
        </w:rPr>
        <w:t xml:space="preserve"> </w:t>
      </w:r>
      <w:r w:rsidR="00301E3B">
        <w:t>NWW</w:t>
      </w:r>
    </w:p>
    <w:p w14:paraId="371FA327" w14:textId="18690559" w:rsidR="006270E7" w:rsidRPr="005608AC" w:rsidRDefault="008B54F7" w:rsidP="006270E7">
      <w:pPr>
        <w:pBdr>
          <w:bottom w:val="single" w:sz="4" w:space="1" w:color="auto"/>
        </w:pBdr>
        <w:rPr>
          <w:b/>
        </w:rPr>
      </w:pPr>
      <w:r>
        <w:rPr>
          <w:b/>
        </w:rPr>
        <w:t>Final Action</w:t>
      </w:r>
      <w:r w:rsidR="006270E7" w:rsidRPr="000C7673">
        <w:t xml:space="preserve">: </w:t>
      </w:r>
      <w:r w:rsidR="006270E7" w:rsidRPr="000C7673">
        <w:tab/>
      </w:r>
      <w:r w:rsidR="006270E7" w:rsidRPr="000C7673">
        <w:tab/>
      </w:r>
      <w:r w:rsidR="006270E7" w:rsidRPr="000C7673">
        <w:tab/>
      </w:r>
      <w:r w:rsidR="006270E7">
        <w:tab/>
      </w:r>
      <w:r w:rsidR="006270E7">
        <w:tab/>
      </w:r>
    </w:p>
    <w:p w14:paraId="53C2DF91" w14:textId="2AAE212C" w:rsidR="00787C8F" w:rsidRPr="00F60346" w:rsidRDefault="0052535B" w:rsidP="00B84CB8">
      <w:pPr>
        <w:pStyle w:val="NoSpacing"/>
        <w:spacing w:before="360"/>
      </w:pPr>
      <w:r w:rsidRPr="00F60346">
        <w:rPr>
          <w:b/>
          <w:caps/>
          <w:u w:val="single"/>
        </w:rPr>
        <w:t>FPP Section</w:t>
      </w:r>
      <w:r w:rsidR="00AB4424" w:rsidRPr="00F60346">
        <w:t>:</w:t>
      </w:r>
      <w:r w:rsidR="00AC00CD">
        <w:t xml:space="preserve"> </w:t>
      </w:r>
      <w:r w:rsidR="006647DC">
        <w:t xml:space="preserve"> IHR </w:t>
      </w:r>
      <w:r w:rsidR="001C3221">
        <w:rPr>
          <w:spacing w:val="-1"/>
        </w:rPr>
        <w:t>S</w:t>
      </w:r>
      <w:r w:rsidR="00301E3B">
        <w:rPr>
          <w:spacing w:val="-1"/>
        </w:rPr>
        <w:t>ection</w:t>
      </w:r>
      <w:r w:rsidR="00301E3B">
        <w:t xml:space="preserve"> 4.3</w:t>
      </w:r>
      <w:r w:rsidR="004F3C5B">
        <w:t xml:space="preserve"> (Turbine Maintenance)</w:t>
      </w:r>
    </w:p>
    <w:p w14:paraId="255BCDC5" w14:textId="1140193A" w:rsidR="009240F1" w:rsidRPr="00A847F2" w:rsidRDefault="0004294E" w:rsidP="00E766A0">
      <w:pPr>
        <w:spacing w:before="360" w:after="240"/>
        <w:rPr>
          <w:b/>
          <w:i/>
        </w:rPr>
      </w:pPr>
      <w:r w:rsidRPr="00F60346">
        <w:rPr>
          <w:b/>
          <w:caps/>
          <w:u w:val="single"/>
        </w:rPr>
        <w:t>Justification</w:t>
      </w:r>
      <w:r w:rsidR="000621DD">
        <w:rPr>
          <w:b/>
          <w:caps/>
          <w:u w:val="single"/>
        </w:rPr>
        <w:t xml:space="preserve"> for change</w:t>
      </w:r>
      <w:r w:rsidRPr="00F60346">
        <w:t>:</w:t>
      </w:r>
      <w:r w:rsidR="000621DD">
        <w:t xml:space="preserve">  </w:t>
      </w:r>
      <w:bookmarkStart w:id="0" w:name="_GoBack"/>
      <w:bookmarkEnd w:id="0"/>
      <w:ins w:id="1" w:author="G0PDWLSW" w:date="2020-10-08T14:54:00Z">
        <w:r w:rsidR="00A847F2" w:rsidRPr="00A847F2">
          <w:rPr>
            <w:b/>
            <w:i/>
          </w:rPr>
          <w:t>Edits proposed by Charles Morrill, WDFW, on 10/8/20.</w:t>
        </w:r>
      </w:ins>
    </w:p>
    <w:p w14:paraId="01C3DC3E" w14:textId="4DF1B38A" w:rsidR="00D37213" w:rsidRDefault="000A3676" w:rsidP="009240F1">
      <w:pPr>
        <w:spacing w:before="240" w:after="240"/>
      </w:pPr>
      <w:r>
        <w:t xml:space="preserve">Ice Harbor Dam </w:t>
      </w:r>
      <w:r w:rsidRPr="00E767B9">
        <w:t xml:space="preserve">operating gates are </w:t>
      </w:r>
      <w:r>
        <w:t xml:space="preserve">currently maintained in a raised operating position using multistage </w:t>
      </w:r>
      <w:r w:rsidRPr="00E767B9">
        <w:t>telescoping cylinders</w:t>
      </w:r>
      <w:r w:rsidR="004E027B">
        <w:t>.</w:t>
      </w:r>
      <w:r w:rsidR="004E027B" w:rsidRPr="004E027B">
        <w:t xml:space="preserve"> </w:t>
      </w:r>
      <w:r w:rsidR="004E027B">
        <w:t xml:space="preserve">These cylinders need to be </w:t>
      </w:r>
      <w:r w:rsidR="004E027B" w:rsidRPr="00E767B9">
        <w:t>replaced</w:t>
      </w:r>
      <w:r w:rsidR="004E027B">
        <w:t xml:space="preserve"> due to age and condition in order to maintain operational reliability and safety</w:t>
      </w:r>
      <w:r w:rsidRPr="00E767B9">
        <w:t xml:space="preserve">. </w:t>
      </w:r>
    </w:p>
    <w:p w14:paraId="12D245DB" w14:textId="297C8166" w:rsidR="00A847F2" w:rsidRPr="00A847F2" w:rsidRDefault="00A847F2" w:rsidP="00A847F2">
      <w:pPr>
        <w:spacing w:before="240"/>
      </w:pPr>
      <w:r>
        <w:t>USACE-NWW proposes to replace the telescoping cylinders with single stage cylinders because of lower repla</w:t>
      </w:r>
      <w:r w:rsidRPr="00A847F2">
        <w:t>cement cost</w:t>
      </w:r>
      <w:ins w:id="2" w:author="G0PDWLSW" w:date="2020-10-08T14:52:00Z">
        <w:r w:rsidRPr="00A847F2">
          <w:t xml:space="preserve">, increased reliability, </w:t>
        </w:r>
        <w:proofErr w:type="gramStart"/>
        <w:r w:rsidRPr="00A847F2">
          <w:t>greater</w:t>
        </w:r>
        <w:proofErr w:type="gramEnd"/>
        <w:r w:rsidRPr="00A847F2">
          <w:t xml:space="preserve"> flexibility in unit operation to optimize passage conditions for adults and juveniles</w:t>
        </w:r>
      </w:ins>
      <w:ins w:id="3" w:author="G0PDWLSW" w:date="2020-10-08T14:53:00Z">
        <w:r>
          <w:t>,</w:t>
        </w:r>
      </w:ins>
      <w:ins w:id="4" w:author="G0PDWLSW" w:date="2020-10-08T14:52:00Z">
        <w:r w:rsidRPr="00A847F2">
          <w:t xml:space="preserve"> and </w:t>
        </w:r>
      </w:ins>
      <w:ins w:id="5" w:author="G0PDWLSW" w:date="2020-10-08T14:53:00Z">
        <w:r>
          <w:t xml:space="preserve">a </w:t>
        </w:r>
      </w:ins>
      <w:ins w:id="6" w:author="G0PDWLSW" w:date="2020-10-08T14:52:00Z">
        <w:r w:rsidRPr="00A847F2">
          <w:t xml:space="preserve">lower risk of oil spills. </w:t>
        </w:r>
      </w:ins>
      <w:del w:id="7" w:author="G0PDWLSW" w:date="2020-10-08T14:52:00Z">
        <w:r w:rsidRPr="00A847F2" w:rsidDel="00A847F2">
          <w:delText xml:space="preserve"> and reduced number of seals, thus providing a benefit to fish with reduced risk for oil spills.  In addition, this approach improves the reliability to maintain project operations which allows for unit prioritizations that optimize passage for adult attraction and juvenile egress.  </w:delText>
        </w:r>
      </w:del>
      <w:r w:rsidRPr="00A847F2">
        <w:t xml:space="preserve">Single stage cylinders would require the operating gates be in the </w:t>
      </w:r>
      <w:proofErr w:type="spellStart"/>
      <w:r w:rsidRPr="00A847F2">
        <w:t>SOG</w:t>
      </w:r>
      <w:proofErr w:type="spellEnd"/>
      <w:r w:rsidRPr="00A847F2">
        <w:t xml:space="preserve"> or original stored position. </w:t>
      </w:r>
      <w:del w:id="8" w:author="G0PDWLSW" w:date="2020-10-08T14:52:00Z">
        <w:r w:rsidRPr="00A847F2" w:rsidDel="00A847F2">
          <w:delText>The effects on FGE are discussed in the accompanying white paper.</w:delText>
        </w:r>
      </w:del>
    </w:p>
    <w:p w14:paraId="56874CF3" w14:textId="3FFC3B6C" w:rsidR="00D37213" w:rsidRDefault="000A3676" w:rsidP="00102DF0">
      <w:pPr>
        <w:spacing w:before="240" w:after="240"/>
      </w:pPr>
      <w:del w:id="9" w:author="G0PDWLSW" w:date="2020-10-08T14:49:00Z">
        <w:r w:rsidDel="00A847F2">
          <w:delText xml:space="preserve">Attached is a </w:delText>
        </w:r>
      </w:del>
      <w:ins w:id="10" w:author="G0PDWLSW" w:date="2020-10-08T14:49:00Z">
        <w:r w:rsidR="00A847F2">
          <w:t xml:space="preserve">A </w:t>
        </w:r>
      </w:ins>
      <w:r>
        <w:t>white paper</w:t>
      </w:r>
      <w:ins w:id="11" w:author="G0PDWLSW" w:date="2020-10-08T14:49:00Z">
        <w:r w:rsidR="00A847F2">
          <w:t xml:space="preserve"> is attached</w:t>
        </w:r>
      </w:ins>
      <w:r>
        <w:t xml:space="preserve"> </w:t>
      </w:r>
      <w:r w:rsidR="006647DC">
        <w:rPr>
          <w:i/>
        </w:rPr>
        <w:t xml:space="preserve">(copied below) </w:t>
      </w:r>
      <w:r w:rsidR="004E027B">
        <w:t>that</w:t>
      </w:r>
      <w:r>
        <w:t xml:space="preserve"> provide</w:t>
      </w:r>
      <w:r w:rsidR="004E027B">
        <w:t>s</w:t>
      </w:r>
      <w:r>
        <w:t xml:space="preserve"> </w:t>
      </w:r>
      <w:r w:rsidR="00804ECD">
        <w:t xml:space="preserve">technical </w:t>
      </w:r>
      <w:r>
        <w:t>information and justification to support the replacement of the existing multistage hydraulic cylinders with single stage cylinders (as originally designed)</w:t>
      </w:r>
      <w:r w:rsidR="004E027B">
        <w:t>. These cylinders are necessary</w:t>
      </w:r>
      <w:r>
        <w:t xml:space="preserve"> for operation of the Ice Harbor turbine intake head gates, also referred to as the operating </w:t>
      </w:r>
      <w:proofErr w:type="spellStart"/>
      <w:r>
        <w:t>headgates</w:t>
      </w:r>
      <w:proofErr w:type="spellEnd"/>
      <w:r>
        <w:t xml:space="preserve"> or emergency operating </w:t>
      </w:r>
      <w:proofErr w:type="spellStart"/>
      <w:r>
        <w:t>headgates</w:t>
      </w:r>
      <w:proofErr w:type="spellEnd"/>
      <w:r>
        <w:t xml:space="preserve">.  </w:t>
      </w:r>
    </w:p>
    <w:p w14:paraId="4193A9BB" w14:textId="016D3CF1" w:rsidR="00F167D9" w:rsidRPr="00F167D9" w:rsidRDefault="00F167D9" w:rsidP="00102DF0">
      <w:pPr>
        <w:spacing w:before="240"/>
        <w:rPr>
          <w:rFonts w:ascii="Times New Roman Bold" w:hAnsi="Times New Roman Bold"/>
          <w:b/>
          <w:caps/>
          <w:u w:val="single"/>
        </w:rPr>
      </w:pPr>
      <w:r w:rsidRPr="00F167D9">
        <w:t>Cylinder replacement is tentatively scheduled to start in May 2021 and complete in April 2023.</w:t>
      </w:r>
    </w:p>
    <w:p w14:paraId="1D4F16CC" w14:textId="77777777" w:rsidR="00A847F2" w:rsidRDefault="00A847F2" w:rsidP="00A847F2">
      <w:pPr>
        <w:spacing w:before="120"/>
        <w:rPr>
          <w:rFonts w:ascii="Times New Roman Bold" w:hAnsi="Times New Roman Bold"/>
          <w:b/>
          <w:caps/>
          <w:u w:val="single"/>
        </w:rPr>
      </w:pPr>
    </w:p>
    <w:p w14:paraId="543D2108" w14:textId="75BFBB6A" w:rsidR="00A663BB" w:rsidRPr="001C3221" w:rsidRDefault="00CD704F" w:rsidP="001C3221">
      <w:pPr>
        <w:spacing w:before="360"/>
      </w:pPr>
      <w:r w:rsidRPr="00E766A0">
        <w:rPr>
          <w:rFonts w:ascii="Times New Roman Bold" w:hAnsi="Times New Roman Bold"/>
          <w:b/>
          <w:caps/>
          <w:u w:val="single"/>
        </w:rPr>
        <w:t>Proposed</w:t>
      </w:r>
      <w:r w:rsidR="0072583F" w:rsidRPr="00E766A0">
        <w:rPr>
          <w:rFonts w:ascii="Times New Roman Bold" w:hAnsi="Times New Roman Bold"/>
          <w:b/>
          <w:caps/>
          <w:u w:val="single"/>
        </w:rPr>
        <w:t xml:space="preserve"> Change</w:t>
      </w:r>
      <w:r w:rsidRPr="00E766A0">
        <w:t>:</w:t>
      </w:r>
      <w:r w:rsidR="00AC00CD" w:rsidRPr="00E766A0">
        <w:t xml:space="preserve"> </w:t>
      </w:r>
      <w:bookmarkStart w:id="12" w:name="_Toc476911652"/>
      <w:r w:rsidR="006647DC">
        <w:t xml:space="preserve"> </w:t>
      </w:r>
      <w:r w:rsidR="004F3C5B">
        <w:t>Add</w:t>
      </w:r>
      <w:r w:rsidR="00D064FA" w:rsidRPr="00E766A0">
        <w:t xml:space="preserve"> </w:t>
      </w:r>
      <w:r w:rsidR="001C3221">
        <w:t xml:space="preserve">new </w:t>
      </w:r>
      <w:r w:rsidR="00D064FA" w:rsidRPr="00E766A0">
        <w:t>s</w:t>
      </w:r>
      <w:r w:rsidR="002552D5" w:rsidRPr="00E766A0">
        <w:t>ection 4.3.</w:t>
      </w:r>
      <w:r w:rsidR="004F3C5B">
        <w:t>10</w:t>
      </w:r>
      <w:r w:rsidR="00D064FA" w:rsidRPr="00E766A0">
        <w:t xml:space="preserve"> as follows:</w:t>
      </w:r>
      <w:r w:rsidR="002552D5" w:rsidRPr="00E766A0">
        <w:t xml:space="preserve"> </w:t>
      </w:r>
      <w:bookmarkEnd w:id="12"/>
    </w:p>
    <w:p w14:paraId="1607D498" w14:textId="39424AA0" w:rsidR="00E766A0" w:rsidRPr="00E766A0" w:rsidRDefault="00E766A0" w:rsidP="001C3221">
      <w:pPr>
        <w:pStyle w:val="Default"/>
        <w:spacing w:before="240" w:after="240"/>
        <w:ind w:left="144"/>
        <w:rPr>
          <w:b/>
          <w:bCs/>
        </w:rPr>
      </w:pPr>
      <w:r w:rsidRPr="00E766A0">
        <w:rPr>
          <w:b/>
          <w:bCs/>
        </w:rPr>
        <w:t xml:space="preserve">4.3. </w:t>
      </w:r>
      <w:r w:rsidRPr="00E766A0">
        <w:rPr>
          <w:b/>
          <w:bCs/>
          <w:u w:val="single"/>
        </w:rPr>
        <w:t xml:space="preserve">Turbine </w:t>
      </w:r>
      <w:r w:rsidR="001C3221">
        <w:rPr>
          <w:b/>
          <w:bCs/>
          <w:u w:val="single"/>
        </w:rPr>
        <w:t xml:space="preserve">Unit </w:t>
      </w:r>
      <w:r w:rsidRPr="00E766A0">
        <w:rPr>
          <w:b/>
          <w:bCs/>
          <w:u w:val="single"/>
        </w:rPr>
        <w:t>Maintenance.</w:t>
      </w:r>
    </w:p>
    <w:p w14:paraId="5C3790DC" w14:textId="37C40727" w:rsidR="001C3221" w:rsidRPr="001C3221" w:rsidRDefault="001C3221" w:rsidP="004E027B">
      <w:pPr>
        <w:pStyle w:val="Default"/>
        <w:spacing w:before="240" w:after="360"/>
        <w:ind w:left="288"/>
        <w:rPr>
          <w:ins w:id="13" w:author="G0PDWLSW" w:date="2020-07-07T16:13:00Z"/>
          <w:b/>
          <w:bCs/>
        </w:rPr>
      </w:pPr>
      <w:ins w:id="14" w:author="G0PDWLSW" w:date="2020-07-07T16:13:00Z">
        <w:r>
          <w:rPr>
            <w:b/>
            <w:bCs/>
          </w:rPr>
          <w:t>4.3.10</w:t>
        </w:r>
        <w:r w:rsidRPr="00E766A0">
          <w:rPr>
            <w:b/>
            <w:bCs/>
          </w:rPr>
          <w:t>. Head Gates.</w:t>
        </w:r>
        <w:r w:rsidRPr="00E766A0">
          <w:rPr>
            <w:rFonts w:ascii="Times New Roman Bold" w:hAnsi="Times New Roman Bold"/>
            <w:b/>
            <w:bCs/>
            <w:vertAlign w:val="superscript"/>
          </w:rPr>
          <w:t xml:space="preserve"> </w:t>
        </w:r>
        <w:r w:rsidRPr="00E766A0">
          <w:t xml:space="preserve">Turbine units may be operated with head gates either in the </w:t>
        </w:r>
        <w:r w:rsidRPr="00E766A0">
          <w:rPr>
            <w:i/>
            <w:iCs/>
          </w:rPr>
          <w:t xml:space="preserve">raised or stored </w:t>
        </w:r>
        <w:r w:rsidRPr="00E766A0">
          <w:t xml:space="preserve">position.  Once all new cylinders have been acquired, turbine units will operate with all head gates in the original design stored position to ensure the safety of project personnel and facilities. </w:t>
        </w:r>
      </w:ins>
    </w:p>
    <w:p w14:paraId="23C0BC53" w14:textId="77777777" w:rsidR="009240F1" w:rsidRDefault="009240F1">
      <w:pPr>
        <w:rPr>
          <w:rFonts w:ascii="Times New Roman Bold" w:hAnsi="Times New Roman Bold"/>
          <w:b/>
          <w:caps/>
          <w:color w:val="000000"/>
          <w:u w:val="single"/>
        </w:rPr>
      </w:pPr>
      <w:r>
        <w:rPr>
          <w:rFonts w:ascii="Times New Roman Bold" w:hAnsi="Times New Roman Bold"/>
          <w:b/>
          <w:caps/>
          <w:u w:val="single"/>
        </w:rPr>
        <w:br w:type="page"/>
      </w:r>
    </w:p>
    <w:p w14:paraId="24209E65" w14:textId="4C819F15" w:rsidR="00FA6501" w:rsidRDefault="00064A36" w:rsidP="001C3221">
      <w:pPr>
        <w:pStyle w:val="Default"/>
        <w:keepNext/>
        <w:spacing w:before="240" w:after="240"/>
      </w:pPr>
      <w:r w:rsidRPr="00F26CAB">
        <w:rPr>
          <w:rFonts w:ascii="Times New Roman Bold" w:hAnsi="Times New Roman Bold"/>
          <w:b/>
          <w:caps/>
          <w:u w:val="single"/>
        </w:rPr>
        <w:lastRenderedPageBreak/>
        <w:t>Comments</w:t>
      </w:r>
      <w:r w:rsidRPr="00D74B01">
        <w:t>:</w:t>
      </w:r>
      <w:r w:rsidR="00470266">
        <w:t xml:space="preserve"> </w:t>
      </w:r>
    </w:p>
    <w:p w14:paraId="27245501" w14:textId="02714C87" w:rsidR="00DE032F" w:rsidRPr="00636E55" w:rsidRDefault="00DE032F" w:rsidP="00331329">
      <w:pPr>
        <w:spacing w:after="120"/>
        <w:rPr>
          <w:sz w:val="22"/>
          <w:szCs w:val="22"/>
        </w:rPr>
      </w:pPr>
      <w:r w:rsidRPr="00636E55">
        <w:rPr>
          <w:sz w:val="22"/>
          <w:szCs w:val="22"/>
          <w:u w:val="single"/>
        </w:rPr>
        <w:t>July 9, 2020 – FPOM</w:t>
      </w:r>
      <w:r w:rsidRPr="00636E55">
        <w:rPr>
          <w:sz w:val="22"/>
          <w:szCs w:val="22"/>
        </w:rPr>
        <w:t xml:space="preserve">:  </w:t>
      </w:r>
    </w:p>
    <w:p w14:paraId="413401A1" w14:textId="3786A7FB" w:rsidR="00F91DC5" w:rsidRPr="00636E55" w:rsidRDefault="00F91DC5" w:rsidP="002640DF">
      <w:pPr>
        <w:pStyle w:val="ListParagraph"/>
        <w:numPr>
          <w:ilvl w:val="0"/>
          <w:numId w:val="34"/>
        </w:numPr>
        <w:spacing w:after="120"/>
        <w:contextualSpacing w:val="0"/>
        <w:rPr>
          <w:sz w:val="22"/>
          <w:szCs w:val="22"/>
        </w:rPr>
      </w:pPr>
      <w:r w:rsidRPr="00636E55">
        <w:rPr>
          <w:sz w:val="22"/>
          <w:szCs w:val="22"/>
        </w:rPr>
        <w:t xml:space="preserve">Thompson was not present at the meeting so Conder can’t make a decision. He asked what the timeline is. Anderson </w:t>
      </w:r>
      <w:r w:rsidR="00331329" w:rsidRPr="00636E55">
        <w:rPr>
          <w:sz w:val="22"/>
          <w:szCs w:val="22"/>
        </w:rPr>
        <w:t>replied</w:t>
      </w:r>
      <w:r w:rsidRPr="00636E55">
        <w:rPr>
          <w:sz w:val="22"/>
          <w:szCs w:val="22"/>
        </w:rPr>
        <w:t xml:space="preserve"> they would like a decision before December. He will discuss the timeline with the PDT and can revisit next month. </w:t>
      </w:r>
    </w:p>
    <w:p w14:paraId="531E7BB4" w14:textId="032F60EC"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noted</w:t>
      </w:r>
      <w:r w:rsidRPr="00636E55">
        <w:rPr>
          <w:sz w:val="22"/>
          <w:szCs w:val="22"/>
        </w:rPr>
        <w:t xml:space="preserve"> there was a</w:t>
      </w:r>
      <w:r w:rsidR="002640DF" w:rsidRPr="00636E55">
        <w:rPr>
          <w:sz w:val="22"/>
          <w:szCs w:val="22"/>
        </w:rPr>
        <w:t>n FGE</w:t>
      </w:r>
      <w:r w:rsidRPr="00636E55">
        <w:rPr>
          <w:sz w:val="22"/>
          <w:szCs w:val="22"/>
        </w:rPr>
        <w:t xml:space="preserve"> difference observed in </w:t>
      </w:r>
      <w:r w:rsidR="002640DF" w:rsidRPr="00636E55">
        <w:rPr>
          <w:sz w:val="22"/>
          <w:szCs w:val="22"/>
        </w:rPr>
        <w:t>older studies (</w:t>
      </w:r>
      <w:r w:rsidRPr="00636E55">
        <w:rPr>
          <w:sz w:val="22"/>
          <w:szCs w:val="22"/>
        </w:rPr>
        <w:t>80s and 90s</w:t>
      </w:r>
      <w:r w:rsidR="002640DF" w:rsidRPr="00636E55">
        <w:rPr>
          <w:sz w:val="22"/>
          <w:szCs w:val="22"/>
        </w:rPr>
        <w:t>)</w:t>
      </w:r>
      <w:r w:rsidR="0051425D" w:rsidRPr="00636E55">
        <w:rPr>
          <w:sz w:val="22"/>
          <w:szCs w:val="22"/>
        </w:rPr>
        <w:t>;</w:t>
      </w:r>
      <w:r w:rsidRPr="00636E55">
        <w:rPr>
          <w:sz w:val="22"/>
          <w:szCs w:val="22"/>
        </w:rPr>
        <w:t xml:space="preserve"> that’s why </w:t>
      </w:r>
      <w:r w:rsidR="002640DF" w:rsidRPr="00636E55">
        <w:rPr>
          <w:sz w:val="22"/>
          <w:szCs w:val="22"/>
        </w:rPr>
        <w:t>the C</w:t>
      </w:r>
      <w:r w:rsidRPr="00636E55">
        <w:rPr>
          <w:sz w:val="22"/>
          <w:szCs w:val="22"/>
        </w:rPr>
        <w:t xml:space="preserve">orps invested in raised gates. </w:t>
      </w:r>
      <w:r w:rsidR="00EA4935" w:rsidRPr="00636E55">
        <w:rPr>
          <w:sz w:val="22"/>
          <w:szCs w:val="22"/>
        </w:rPr>
        <w:t>Why the different results now?</w:t>
      </w:r>
    </w:p>
    <w:p w14:paraId="4CB6FCBC" w14:textId="792935AD"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Lorz </w:t>
      </w:r>
      <w:r w:rsidR="0051425D" w:rsidRPr="00636E55">
        <w:rPr>
          <w:sz w:val="22"/>
          <w:szCs w:val="22"/>
        </w:rPr>
        <w:t>recalled</w:t>
      </w:r>
      <w:r w:rsidRPr="00636E55">
        <w:rPr>
          <w:sz w:val="22"/>
          <w:szCs w:val="22"/>
        </w:rPr>
        <w:t xml:space="preserve"> </w:t>
      </w:r>
      <w:r w:rsidR="004C5DAF" w:rsidRPr="00636E55">
        <w:rPr>
          <w:sz w:val="22"/>
          <w:szCs w:val="22"/>
        </w:rPr>
        <w:t xml:space="preserve">there was an </w:t>
      </w:r>
      <w:r w:rsidRPr="00636E55">
        <w:rPr>
          <w:sz w:val="22"/>
          <w:szCs w:val="22"/>
        </w:rPr>
        <w:t xml:space="preserve">acoustic study </w:t>
      </w:r>
      <w:r w:rsidR="004C5DAF" w:rsidRPr="00636E55">
        <w:rPr>
          <w:sz w:val="22"/>
          <w:szCs w:val="22"/>
        </w:rPr>
        <w:t>that showed a</w:t>
      </w:r>
      <w:r w:rsidRPr="00636E55">
        <w:rPr>
          <w:sz w:val="22"/>
          <w:szCs w:val="22"/>
        </w:rPr>
        <w:t xml:space="preserve"> difference </w:t>
      </w:r>
      <w:r w:rsidR="002640DF" w:rsidRPr="00636E55">
        <w:rPr>
          <w:sz w:val="22"/>
          <w:szCs w:val="22"/>
        </w:rPr>
        <w:t>for</w:t>
      </w:r>
      <w:r w:rsidRPr="00636E55">
        <w:rPr>
          <w:sz w:val="22"/>
          <w:szCs w:val="22"/>
        </w:rPr>
        <w:t xml:space="preserve"> subyearlings. </w:t>
      </w:r>
    </w:p>
    <w:p w14:paraId="5BBEC8DD" w14:textId="610A18C2"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recalled </w:t>
      </w:r>
      <w:r w:rsidR="004C5DAF" w:rsidRPr="00636E55">
        <w:rPr>
          <w:sz w:val="22"/>
          <w:szCs w:val="22"/>
        </w:rPr>
        <w:t xml:space="preserve">a study that showed a point benefit with </w:t>
      </w:r>
      <w:r w:rsidRPr="00636E55">
        <w:rPr>
          <w:sz w:val="22"/>
          <w:szCs w:val="22"/>
        </w:rPr>
        <w:t xml:space="preserve">raised </w:t>
      </w:r>
      <w:r w:rsidR="002640DF" w:rsidRPr="00636E55">
        <w:rPr>
          <w:sz w:val="22"/>
          <w:szCs w:val="22"/>
        </w:rPr>
        <w:t xml:space="preserve">gates </w:t>
      </w:r>
      <w:r w:rsidRPr="00636E55">
        <w:rPr>
          <w:sz w:val="22"/>
          <w:szCs w:val="22"/>
        </w:rPr>
        <w:t xml:space="preserve">as conditions got warmer. But Ham et al showed no difference. </w:t>
      </w:r>
    </w:p>
    <w:p w14:paraId="24AD0509" w14:textId="46C2F952" w:rsidR="0049408D"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Anderson </w:t>
      </w:r>
      <w:r w:rsidR="0051425D" w:rsidRPr="00636E55">
        <w:rPr>
          <w:sz w:val="22"/>
          <w:szCs w:val="22"/>
        </w:rPr>
        <w:t>replied that</w:t>
      </w:r>
      <w:r w:rsidRPr="00636E55">
        <w:rPr>
          <w:sz w:val="22"/>
          <w:szCs w:val="22"/>
        </w:rPr>
        <w:t xml:space="preserve"> </w:t>
      </w:r>
      <w:r w:rsidR="00BA5025" w:rsidRPr="00636E55">
        <w:rPr>
          <w:sz w:val="22"/>
          <w:szCs w:val="22"/>
        </w:rPr>
        <w:t>the s</w:t>
      </w:r>
      <w:r w:rsidRPr="00636E55">
        <w:rPr>
          <w:sz w:val="22"/>
          <w:szCs w:val="22"/>
        </w:rPr>
        <w:t xml:space="preserve">tudies in 80s and 90s used nets in </w:t>
      </w:r>
      <w:r w:rsidR="004F7C63" w:rsidRPr="00636E55">
        <w:rPr>
          <w:sz w:val="22"/>
          <w:szCs w:val="22"/>
        </w:rPr>
        <w:t xml:space="preserve">the </w:t>
      </w:r>
      <w:r w:rsidRPr="00636E55">
        <w:rPr>
          <w:sz w:val="22"/>
          <w:szCs w:val="22"/>
        </w:rPr>
        <w:t>operating gate slot to capture fish in the evening. Not comparable to improved method</w:t>
      </w:r>
      <w:r w:rsidR="004C5DAF" w:rsidRPr="00636E55">
        <w:rPr>
          <w:sz w:val="22"/>
          <w:szCs w:val="22"/>
        </w:rPr>
        <w:t>ology</w:t>
      </w:r>
      <w:r w:rsidRPr="00636E55">
        <w:rPr>
          <w:sz w:val="22"/>
          <w:szCs w:val="22"/>
        </w:rPr>
        <w:t xml:space="preserve"> of </w:t>
      </w:r>
      <w:r w:rsidR="00FD0799" w:rsidRPr="00636E55">
        <w:rPr>
          <w:sz w:val="22"/>
          <w:szCs w:val="22"/>
        </w:rPr>
        <w:t xml:space="preserve">current </w:t>
      </w:r>
      <w:r w:rsidRPr="00636E55">
        <w:rPr>
          <w:sz w:val="22"/>
          <w:szCs w:val="22"/>
        </w:rPr>
        <w:t xml:space="preserve">studies with split beam </w:t>
      </w:r>
      <w:proofErr w:type="spellStart"/>
      <w:r w:rsidRPr="00636E55">
        <w:rPr>
          <w:sz w:val="22"/>
          <w:szCs w:val="22"/>
        </w:rPr>
        <w:t>hydroacoustics</w:t>
      </w:r>
      <w:proofErr w:type="spellEnd"/>
      <w:r w:rsidRPr="00636E55">
        <w:rPr>
          <w:sz w:val="22"/>
          <w:szCs w:val="22"/>
        </w:rPr>
        <w:t xml:space="preserve">, so </w:t>
      </w:r>
      <w:r w:rsidR="00FD0799" w:rsidRPr="00636E55">
        <w:rPr>
          <w:sz w:val="22"/>
          <w:szCs w:val="22"/>
        </w:rPr>
        <w:t>recent</w:t>
      </w:r>
      <w:r w:rsidR="002640DF" w:rsidRPr="00636E55">
        <w:rPr>
          <w:sz w:val="22"/>
          <w:szCs w:val="22"/>
        </w:rPr>
        <w:t xml:space="preserve"> </w:t>
      </w:r>
      <w:r w:rsidRPr="00636E55">
        <w:rPr>
          <w:sz w:val="22"/>
          <w:szCs w:val="22"/>
        </w:rPr>
        <w:t xml:space="preserve">results </w:t>
      </w:r>
      <w:r w:rsidR="002640DF" w:rsidRPr="00636E55">
        <w:rPr>
          <w:sz w:val="22"/>
          <w:szCs w:val="22"/>
        </w:rPr>
        <w:t xml:space="preserve">are </w:t>
      </w:r>
      <w:r w:rsidRPr="00636E55">
        <w:rPr>
          <w:sz w:val="22"/>
          <w:szCs w:val="22"/>
        </w:rPr>
        <w:t xml:space="preserve">more reliable. Can’t recall </w:t>
      </w:r>
      <w:r w:rsidR="002640DF" w:rsidRPr="00636E55">
        <w:rPr>
          <w:sz w:val="22"/>
          <w:szCs w:val="22"/>
        </w:rPr>
        <w:t xml:space="preserve">a study </w:t>
      </w:r>
      <w:r w:rsidR="00BA5025" w:rsidRPr="00636E55">
        <w:rPr>
          <w:sz w:val="22"/>
          <w:szCs w:val="22"/>
        </w:rPr>
        <w:t>that showed</w:t>
      </w:r>
      <w:r w:rsidR="002640DF" w:rsidRPr="00636E55">
        <w:rPr>
          <w:sz w:val="22"/>
          <w:szCs w:val="22"/>
        </w:rPr>
        <w:t xml:space="preserve"> a </w:t>
      </w:r>
      <w:r w:rsidRPr="00636E55">
        <w:rPr>
          <w:sz w:val="22"/>
          <w:szCs w:val="22"/>
        </w:rPr>
        <w:t xml:space="preserve">point benefit in summer. </w:t>
      </w:r>
    </w:p>
    <w:p w14:paraId="511A90E8" w14:textId="1A927D8D" w:rsidR="00310EEC"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had a</w:t>
      </w:r>
      <w:r w:rsidRPr="00636E55">
        <w:rPr>
          <w:sz w:val="22"/>
          <w:szCs w:val="22"/>
        </w:rPr>
        <w:t xml:space="preserve"> </w:t>
      </w:r>
      <w:r w:rsidR="0049408D" w:rsidRPr="00636E55">
        <w:rPr>
          <w:sz w:val="22"/>
          <w:szCs w:val="22"/>
        </w:rPr>
        <w:t xml:space="preserve">hard time reconciling </w:t>
      </w:r>
      <w:r w:rsidR="004F7C63" w:rsidRPr="00636E55">
        <w:rPr>
          <w:sz w:val="22"/>
          <w:szCs w:val="22"/>
        </w:rPr>
        <w:t xml:space="preserve">results from </w:t>
      </w:r>
      <w:proofErr w:type="spellStart"/>
      <w:r w:rsidR="0049408D" w:rsidRPr="00636E55">
        <w:rPr>
          <w:sz w:val="22"/>
          <w:szCs w:val="22"/>
        </w:rPr>
        <w:t>Ledgerwood</w:t>
      </w:r>
      <w:proofErr w:type="spellEnd"/>
      <w:r w:rsidR="0049408D" w:rsidRPr="00636E55">
        <w:rPr>
          <w:sz w:val="22"/>
          <w:szCs w:val="22"/>
        </w:rPr>
        <w:t xml:space="preserve"> </w:t>
      </w:r>
      <w:r w:rsidR="004F7C63" w:rsidRPr="00636E55">
        <w:rPr>
          <w:sz w:val="22"/>
          <w:szCs w:val="22"/>
        </w:rPr>
        <w:t>that showed</w:t>
      </w:r>
      <w:r w:rsidR="0049408D" w:rsidRPr="00636E55">
        <w:rPr>
          <w:sz w:val="22"/>
          <w:szCs w:val="22"/>
        </w:rPr>
        <w:t xml:space="preserve"> significantly better FGE </w:t>
      </w:r>
      <w:r w:rsidR="00EA4935" w:rsidRPr="00636E55">
        <w:rPr>
          <w:sz w:val="22"/>
          <w:szCs w:val="22"/>
        </w:rPr>
        <w:t>with</w:t>
      </w:r>
      <w:r w:rsidR="0049408D" w:rsidRPr="00636E55">
        <w:rPr>
          <w:sz w:val="22"/>
          <w:szCs w:val="22"/>
        </w:rPr>
        <w:t xml:space="preserve"> raised</w:t>
      </w:r>
      <w:r w:rsidR="00EA4935" w:rsidRPr="00636E55">
        <w:rPr>
          <w:sz w:val="22"/>
          <w:szCs w:val="22"/>
        </w:rPr>
        <w:t xml:space="preserve"> gates</w:t>
      </w:r>
      <w:r w:rsidR="004F7C63" w:rsidRPr="00636E55">
        <w:rPr>
          <w:sz w:val="22"/>
          <w:szCs w:val="22"/>
        </w:rPr>
        <w:t>;</w:t>
      </w:r>
      <w:r w:rsidR="0049408D" w:rsidRPr="00636E55">
        <w:rPr>
          <w:sz w:val="22"/>
          <w:szCs w:val="22"/>
        </w:rPr>
        <w:t xml:space="preserve"> now all of a sudden there’</w:t>
      </w:r>
      <w:r w:rsidR="00AB630B" w:rsidRPr="00636E55">
        <w:rPr>
          <w:sz w:val="22"/>
          <w:szCs w:val="22"/>
        </w:rPr>
        <w:t xml:space="preserve">s no </w:t>
      </w:r>
      <w:r w:rsidR="00FD0799" w:rsidRPr="00636E55">
        <w:rPr>
          <w:sz w:val="22"/>
          <w:szCs w:val="22"/>
        </w:rPr>
        <w:t>difference</w:t>
      </w:r>
      <w:r w:rsidR="00AB630B" w:rsidRPr="00636E55">
        <w:rPr>
          <w:sz w:val="22"/>
          <w:szCs w:val="22"/>
        </w:rPr>
        <w:t>?</w:t>
      </w:r>
      <w:r w:rsidR="0049408D" w:rsidRPr="00636E55">
        <w:rPr>
          <w:sz w:val="22"/>
          <w:szCs w:val="22"/>
        </w:rPr>
        <w:t xml:space="preserve"> </w:t>
      </w:r>
      <w:r w:rsidR="004F7C63" w:rsidRPr="00636E55">
        <w:rPr>
          <w:sz w:val="22"/>
          <w:szCs w:val="22"/>
        </w:rPr>
        <w:t>Though t</w:t>
      </w:r>
      <w:r w:rsidR="0049408D" w:rsidRPr="00636E55">
        <w:rPr>
          <w:sz w:val="22"/>
          <w:szCs w:val="22"/>
        </w:rPr>
        <w:t xml:space="preserve">here are some potential benefits for </w:t>
      </w:r>
      <w:r w:rsidR="002640DF" w:rsidRPr="00636E55">
        <w:rPr>
          <w:sz w:val="22"/>
          <w:szCs w:val="22"/>
        </w:rPr>
        <w:t>stored</w:t>
      </w:r>
      <w:r w:rsidR="004F7C63" w:rsidRPr="00636E55">
        <w:rPr>
          <w:sz w:val="22"/>
          <w:szCs w:val="22"/>
        </w:rPr>
        <w:t xml:space="preserve"> gates</w:t>
      </w:r>
      <w:r w:rsidR="0049408D" w:rsidRPr="00636E55">
        <w:rPr>
          <w:sz w:val="22"/>
          <w:szCs w:val="22"/>
        </w:rPr>
        <w:t xml:space="preserve"> (e.g.</w:t>
      </w:r>
      <w:r w:rsidR="002640DF" w:rsidRPr="00636E55">
        <w:rPr>
          <w:sz w:val="22"/>
          <w:szCs w:val="22"/>
        </w:rPr>
        <w:t>,</w:t>
      </w:r>
      <w:r w:rsidR="0049408D" w:rsidRPr="00636E55">
        <w:rPr>
          <w:sz w:val="22"/>
          <w:szCs w:val="22"/>
        </w:rPr>
        <w:t xml:space="preserve"> descaling rates), more i</w:t>
      </w:r>
      <w:r w:rsidR="002640DF" w:rsidRPr="00636E55">
        <w:rPr>
          <w:sz w:val="22"/>
          <w:szCs w:val="22"/>
        </w:rPr>
        <w:t xml:space="preserve">nfo </w:t>
      </w:r>
      <w:r w:rsidR="004F7C63" w:rsidRPr="00636E55">
        <w:rPr>
          <w:sz w:val="22"/>
          <w:szCs w:val="22"/>
        </w:rPr>
        <w:t>is needed before deciding on the operation</w:t>
      </w:r>
      <w:r w:rsidR="002640DF" w:rsidRPr="00636E55">
        <w:rPr>
          <w:sz w:val="22"/>
          <w:szCs w:val="22"/>
        </w:rPr>
        <w:t xml:space="preserve"> at IHR. Referenced </w:t>
      </w:r>
      <w:r w:rsidR="0049408D" w:rsidRPr="00636E55">
        <w:rPr>
          <w:sz w:val="22"/>
          <w:szCs w:val="22"/>
        </w:rPr>
        <w:t>studies</w:t>
      </w:r>
      <w:r w:rsidR="002640DF" w:rsidRPr="00636E55">
        <w:rPr>
          <w:sz w:val="22"/>
          <w:szCs w:val="22"/>
        </w:rPr>
        <w:t xml:space="preserve"> are</w:t>
      </w:r>
      <w:r w:rsidR="0049408D" w:rsidRPr="00636E55">
        <w:rPr>
          <w:sz w:val="22"/>
          <w:szCs w:val="22"/>
        </w:rPr>
        <w:t xml:space="preserve"> at other projects at other times of the year. </w:t>
      </w:r>
      <w:r w:rsidR="00D8763C" w:rsidRPr="00636E55">
        <w:rPr>
          <w:sz w:val="22"/>
          <w:szCs w:val="22"/>
        </w:rPr>
        <w:tab/>
      </w:r>
    </w:p>
    <w:p w14:paraId="1B6BCC18" w14:textId="57ABED31" w:rsidR="0049408D" w:rsidRPr="00636E55" w:rsidRDefault="0049408D" w:rsidP="002640DF">
      <w:pPr>
        <w:pStyle w:val="ListParagraph"/>
        <w:numPr>
          <w:ilvl w:val="0"/>
          <w:numId w:val="34"/>
        </w:numPr>
        <w:spacing w:after="120"/>
        <w:contextualSpacing w:val="0"/>
        <w:rPr>
          <w:sz w:val="22"/>
          <w:szCs w:val="22"/>
        </w:rPr>
      </w:pPr>
      <w:r w:rsidRPr="00636E55">
        <w:rPr>
          <w:sz w:val="22"/>
          <w:szCs w:val="22"/>
        </w:rPr>
        <w:t xml:space="preserve">Morrill </w:t>
      </w:r>
      <w:r w:rsidR="004F7C63" w:rsidRPr="00636E55">
        <w:rPr>
          <w:sz w:val="22"/>
          <w:szCs w:val="22"/>
        </w:rPr>
        <w:t xml:space="preserve">had </w:t>
      </w:r>
      <w:r w:rsidR="00637783" w:rsidRPr="00636E55">
        <w:rPr>
          <w:sz w:val="22"/>
          <w:szCs w:val="22"/>
        </w:rPr>
        <w:t xml:space="preserve">concerns even </w:t>
      </w:r>
      <w:r w:rsidR="004F7C63" w:rsidRPr="00636E55">
        <w:rPr>
          <w:sz w:val="22"/>
          <w:szCs w:val="22"/>
        </w:rPr>
        <w:t>for the</w:t>
      </w:r>
      <w:r w:rsidR="00637783" w:rsidRPr="00636E55">
        <w:rPr>
          <w:sz w:val="22"/>
          <w:szCs w:val="22"/>
        </w:rPr>
        <w:t xml:space="preserve"> spring</w:t>
      </w:r>
      <w:r w:rsidR="002640DF" w:rsidRPr="00636E55">
        <w:rPr>
          <w:sz w:val="22"/>
          <w:szCs w:val="22"/>
        </w:rPr>
        <w:t>. U</w:t>
      </w:r>
      <w:r w:rsidR="00637783" w:rsidRPr="00636E55">
        <w:rPr>
          <w:sz w:val="22"/>
          <w:szCs w:val="22"/>
        </w:rPr>
        <w:t xml:space="preserve">sing bulkheads in stored </w:t>
      </w:r>
      <w:r w:rsidR="004F7C63" w:rsidRPr="00636E55">
        <w:rPr>
          <w:sz w:val="22"/>
          <w:szCs w:val="22"/>
        </w:rPr>
        <w:t xml:space="preserve">position </w:t>
      </w:r>
      <w:r w:rsidR="00637783" w:rsidRPr="00636E55">
        <w:rPr>
          <w:sz w:val="22"/>
          <w:szCs w:val="22"/>
        </w:rPr>
        <w:t xml:space="preserve">would increase mortality and </w:t>
      </w:r>
      <w:r w:rsidR="002640DF" w:rsidRPr="00636E55">
        <w:rPr>
          <w:sz w:val="22"/>
          <w:szCs w:val="22"/>
        </w:rPr>
        <w:t>PIT-PH/</w:t>
      </w:r>
      <w:r w:rsidR="00637783" w:rsidRPr="00636E55">
        <w:rPr>
          <w:sz w:val="22"/>
          <w:szCs w:val="22"/>
        </w:rPr>
        <w:t xml:space="preserve">latent mortality. </w:t>
      </w:r>
    </w:p>
    <w:p w14:paraId="51EF0A66" w14:textId="06E19141"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Anderson </w:t>
      </w:r>
      <w:r w:rsidR="0051425D" w:rsidRPr="00636E55">
        <w:rPr>
          <w:sz w:val="22"/>
          <w:szCs w:val="22"/>
        </w:rPr>
        <w:t>noted</w:t>
      </w:r>
      <w:r w:rsidRPr="00636E55">
        <w:rPr>
          <w:sz w:val="22"/>
          <w:szCs w:val="22"/>
        </w:rPr>
        <w:t xml:space="preserve"> this wouldn’t change PIT-PH because they’re still going through </w:t>
      </w:r>
      <w:r w:rsidR="0018252E" w:rsidRPr="00636E55">
        <w:rPr>
          <w:sz w:val="22"/>
          <w:szCs w:val="22"/>
        </w:rPr>
        <w:t xml:space="preserve">the </w:t>
      </w:r>
      <w:r w:rsidRPr="00636E55">
        <w:rPr>
          <w:sz w:val="22"/>
          <w:szCs w:val="22"/>
        </w:rPr>
        <w:t>JBS, which counts as PH passage in that model.</w:t>
      </w:r>
    </w:p>
    <w:p w14:paraId="09B3B46F" w14:textId="662EA529"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Morrill </w:t>
      </w:r>
      <w:r w:rsidR="002640DF" w:rsidRPr="00636E55">
        <w:rPr>
          <w:sz w:val="22"/>
          <w:szCs w:val="22"/>
        </w:rPr>
        <w:t xml:space="preserve">clarified he’s </w:t>
      </w:r>
      <w:r w:rsidR="00AB630B" w:rsidRPr="00636E55">
        <w:rPr>
          <w:sz w:val="22"/>
          <w:szCs w:val="22"/>
        </w:rPr>
        <w:t>concerned with increased turbine passage.</w:t>
      </w:r>
      <w:r w:rsidR="005A3232" w:rsidRPr="00636E55">
        <w:rPr>
          <w:sz w:val="22"/>
          <w:szCs w:val="22"/>
        </w:rPr>
        <w:t xml:space="preserve"> Stored </w:t>
      </w:r>
      <w:r w:rsidR="002640DF" w:rsidRPr="00636E55">
        <w:rPr>
          <w:sz w:val="22"/>
          <w:szCs w:val="22"/>
        </w:rPr>
        <w:t xml:space="preserve">position </w:t>
      </w:r>
      <w:r w:rsidR="005A3232" w:rsidRPr="00636E55">
        <w:rPr>
          <w:sz w:val="22"/>
          <w:szCs w:val="22"/>
        </w:rPr>
        <w:t>puts more fish through turbines.</w:t>
      </w:r>
    </w:p>
    <w:p w14:paraId="567DB227" w14:textId="24EE14CF"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recalled</w:t>
      </w:r>
      <w:r w:rsidRPr="00636E55">
        <w:rPr>
          <w:sz w:val="22"/>
          <w:szCs w:val="22"/>
        </w:rPr>
        <w:t xml:space="preserve"> there are studies that </w:t>
      </w:r>
      <w:r w:rsidR="0018252E" w:rsidRPr="00636E55">
        <w:rPr>
          <w:sz w:val="22"/>
          <w:szCs w:val="22"/>
        </w:rPr>
        <w:t xml:space="preserve">showed the </w:t>
      </w:r>
      <w:r w:rsidRPr="00636E55">
        <w:rPr>
          <w:sz w:val="22"/>
          <w:szCs w:val="22"/>
        </w:rPr>
        <w:t xml:space="preserve">stored </w:t>
      </w:r>
      <w:r w:rsidR="004F7C63" w:rsidRPr="00636E55">
        <w:rPr>
          <w:sz w:val="22"/>
          <w:szCs w:val="22"/>
        </w:rPr>
        <w:t xml:space="preserve">position </w:t>
      </w:r>
      <w:r w:rsidRPr="00636E55">
        <w:rPr>
          <w:sz w:val="22"/>
          <w:szCs w:val="22"/>
        </w:rPr>
        <w:t xml:space="preserve">has some benefits and better survival at some projects. </w:t>
      </w:r>
      <w:r w:rsidR="00AB630B" w:rsidRPr="00636E55">
        <w:rPr>
          <w:sz w:val="22"/>
          <w:szCs w:val="22"/>
        </w:rPr>
        <w:t>But s</w:t>
      </w:r>
      <w:r w:rsidRPr="00636E55">
        <w:rPr>
          <w:sz w:val="22"/>
          <w:szCs w:val="22"/>
        </w:rPr>
        <w:t xml:space="preserve">till not enough data to also </w:t>
      </w:r>
      <w:r w:rsidR="00AB630B" w:rsidRPr="00636E55">
        <w:rPr>
          <w:sz w:val="22"/>
          <w:szCs w:val="22"/>
        </w:rPr>
        <w:t xml:space="preserve">recommend at IHR. </w:t>
      </w:r>
    </w:p>
    <w:p w14:paraId="095F7855" w14:textId="16E2C3F1" w:rsidR="00AB630B" w:rsidRPr="00636E55" w:rsidRDefault="00AB630B" w:rsidP="002640DF">
      <w:pPr>
        <w:pStyle w:val="ListParagraph"/>
        <w:numPr>
          <w:ilvl w:val="0"/>
          <w:numId w:val="34"/>
        </w:numPr>
        <w:spacing w:after="120"/>
        <w:contextualSpacing w:val="0"/>
        <w:rPr>
          <w:sz w:val="22"/>
          <w:szCs w:val="22"/>
        </w:rPr>
      </w:pPr>
      <w:r w:rsidRPr="00636E55">
        <w:rPr>
          <w:sz w:val="22"/>
          <w:szCs w:val="22"/>
        </w:rPr>
        <w:t xml:space="preserve">Hockersmith </w:t>
      </w:r>
      <w:r w:rsidR="0051425D" w:rsidRPr="00636E55">
        <w:rPr>
          <w:sz w:val="22"/>
          <w:szCs w:val="22"/>
        </w:rPr>
        <w:t>replied that</w:t>
      </w:r>
      <w:r w:rsidRPr="00636E55">
        <w:rPr>
          <w:sz w:val="22"/>
          <w:szCs w:val="22"/>
        </w:rPr>
        <w:t xml:space="preserve"> lots of variables have changed since </w:t>
      </w:r>
      <w:proofErr w:type="spellStart"/>
      <w:r w:rsidRPr="00636E55">
        <w:rPr>
          <w:sz w:val="22"/>
          <w:szCs w:val="22"/>
        </w:rPr>
        <w:t>Ledgerwood</w:t>
      </w:r>
      <w:proofErr w:type="spellEnd"/>
      <w:r w:rsidR="004F7C63" w:rsidRPr="00636E55">
        <w:rPr>
          <w:sz w:val="22"/>
          <w:szCs w:val="22"/>
        </w:rPr>
        <w:t xml:space="preserve"> – structur</w:t>
      </w:r>
      <w:r w:rsidRPr="00636E55">
        <w:rPr>
          <w:sz w:val="22"/>
          <w:szCs w:val="22"/>
        </w:rPr>
        <w:t xml:space="preserve">al, operational, and earlier run timing. All </w:t>
      </w:r>
      <w:r w:rsidR="002640DF" w:rsidRPr="00636E55">
        <w:rPr>
          <w:sz w:val="22"/>
          <w:szCs w:val="22"/>
        </w:rPr>
        <w:t>of these</w:t>
      </w:r>
      <w:r w:rsidR="004F7C63" w:rsidRPr="00636E55">
        <w:rPr>
          <w:sz w:val="22"/>
          <w:szCs w:val="22"/>
        </w:rPr>
        <w:t xml:space="preserve"> also</w:t>
      </w:r>
      <w:r w:rsidR="002640DF" w:rsidRPr="00636E55">
        <w:rPr>
          <w:sz w:val="22"/>
          <w:szCs w:val="22"/>
        </w:rPr>
        <w:t xml:space="preserve"> impact what </w:t>
      </w:r>
      <w:r w:rsidRPr="00636E55">
        <w:rPr>
          <w:sz w:val="22"/>
          <w:szCs w:val="22"/>
        </w:rPr>
        <w:t xml:space="preserve">temperature </w:t>
      </w:r>
      <w:r w:rsidR="002640DF" w:rsidRPr="00636E55">
        <w:rPr>
          <w:sz w:val="22"/>
          <w:szCs w:val="22"/>
        </w:rPr>
        <w:t xml:space="preserve">fish </w:t>
      </w:r>
      <w:r w:rsidRPr="00636E55">
        <w:rPr>
          <w:sz w:val="22"/>
          <w:szCs w:val="22"/>
        </w:rPr>
        <w:t xml:space="preserve">experience. </w:t>
      </w:r>
    </w:p>
    <w:p w14:paraId="53FBA916" w14:textId="77777777" w:rsidR="001F5F91" w:rsidRPr="00636E55" w:rsidRDefault="001F5F91" w:rsidP="002640DF">
      <w:pPr>
        <w:pStyle w:val="ListParagraph"/>
        <w:numPr>
          <w:ilvl w:val="0"/>
          <w:numId w:val="34"/>
        </w:numPr>
        <w:spacing w:after="120"/>
        <w:contextualSpacing w:val="0"/>
        <w:rPr>
          <w:sz w:val="22"/>
          <w:szCs w:val="22"/>
        </w:rPr>
      </w:pPr>
      <w:r w:rsidRPr="00636E55">
        <w:rPr>
          <w:sz w:val="22"/>
          <w:szCs w:val="22"/>
        </w:rPr>
        <w:t>Anderson and Hockersmith will look for the temporal report that Conder was referring to and will send out what they find, along with historical reports referenced in the white paper that aren’t available online.</w:t>
      </w:r>
    </w:p>
    <w:p w14:paraId="28D0F51A" w14:textId="30B61F3F" w:rsidR="00580371" w:rsidRPr="00636E55" w:rsidRDefault="00580371" w:rsidP="002640DF">
      <w:pPr>
        <w:pStyle w:val="ListParagraph"/>
        <w:numPr>
          <w:ilvl w:val="0"/>
          <w:numId w:val="34"/>
        </w:numPr>
        <w:spacing w:after="120"/>
        <w:contextualSpacing w:val="0"/>
        <w:rPr>
          <w:sz w:val="22"/>
          <w:szCs w:val="22"/>
        </w:rPr>
      </w:pPr>
      <w:r w:rsidRPr="00636E55">
        <w:rPr>
          <w:sz w:val="22"/>
          <w:szCs w:val="22"/>
        </w:rPr>
        <w:t xml:space="preserve">PENDING further review and discussion at NWW </w:t>
      </w:r>
      <w:proofErr w:type="spellStart"/>
      <w:r w:rsidRPr="00636E55">
        <w:rPr>
          <w:sz w:val="22"/>
          <w:szCs w:val="22"/>
        </w:rPr>
        <w:t>FFDWRG</w:t>
      </w:r>
      <w:proofErr w:type="spellEnd"/>
      <w:r w:rsidRPr="00636E55">
        <w:rPr>
          <w:sz w:val="22"/>
          <w:szCs w:val="22"/>
        </w:rPr>
        <w:t xml:space="preserve"> (July 23) and next FPOM</w:t>
      </w:r>
      <w:r w:rsidR="000738D5" w:rsidRPr="00636E55">
        <w:rPr>
          <w:sz w:val="22"/>
          <w:szCs w:val="22"/>
        </w:rPr>
        <w:t xml:space="preserve"> (Aug</w:t>
      </w:r>
      <w:r w:rsidR="0018252E" w:rsidRPr="00636E55">
        <w:rPr>
          <w:sz w:val="22"/>
          <w:szCs w:val="22"/>
        </w:rPr>
        <w:t>ust</w:t>
      </w:r>
      <w:r w:rsidR="000738D5" w:rsidRPr="00636E55">
        <w:rPr>
          <w:sz w:val="22"/>
          <w:szCs w:val="22"/>
        </w:rPr>
        <w:t xml:space="preserve"> 13)</w:t>
      </w:r>
      <w:r w:rsidRPr="00636E55">
        <w:rPr>
          <w:sz w:val="22"/>
          <w:szCs w:val="22"/>
        </w:rPr>
        <w:t xml:space="preserve">. </w:t>
      </w:r>
    </w:p>
    <w:p w14:paraId="2637CCDE" w14:textId="77777777" w:rsidR="00CF1423" w:rsidRPr="00636E55" w:rsidRDefault="0028289B" w:rsidP="00636E55">
      <w:pPr>
        <w:pBdr>
          <w:top w:val="single" w:sz="4" w:space="1" w:color="auto"/>
        </w:pBdr>
        <w:spacing w:before="240" w:after="120"/>
        <w:rPr>
          <w:sz w:val="22"/>
          <w:szCs w:val="22"/>
        </w:rPr>
      </w:pPr>
      <w:r w:rsidRPr="00636E55">
        <w:rPr>
          <w:sz w:val="22"/>
          <w:szCs w:val="22"/>
          <w:u w:val="single"/>
        </w:rPr>
        <w:t>August 12, 2020 – email from Charles Morrill, WDFW</w:t>
      </w:r>
      <w:r w:rsidRPr="00636E55">
        <w:rPr>
          <w:sz w:val="22"/>
          <w:szCs w:val="22"/>
        </w:rPr>
        <w:t xml:space="preserve">:  </w:t>
      </w:r>
    </w:p>
    <w:p w14:paraId="71AC13D3" w14:textId="264BB06F" w:rsidR="0028289B" w:rsidRPr="00636E55" w:rsidRDefault="0028289B" w:rsidP="0050331B">
      <w:pPr>
        <w:pStyle w:val="ListParagraph"/>
        <w:numPr>
          <w:ilvl w:val="0"/>
          <w:numId w:val="36"/>
        </w:numPr>
        <w:spacing w:after="120"/>
        <w:ind w:left="360"/>
        <w:rPr>
          <w:sz w:val="22"/>
          <w:szCs w:val="22"/>
        </w:rPr>
      </w:pPr>
      <w:r w:rsidRPr="00636E55">
        <w:rPr>
          <w:sz w:val="22"/>
          <w:szCs w:val="22"/>
        </w:rPr>
        <w:t xml:space="preserve">See </w:t>
      </w:r>
      <w:r w:rsidR="00AE7BEF" w:rsidRPr="00636E55">
        <w:rPr>
          <w:sz w:val="22"/>
          <w:szCs w:val="22"/>
        </w:rPr>
        <w:t xml:space="preserve">below for WDFW </w:t>
      </w:r>
      <w:r w:rsidR="00CF1423" w:rsidRPr="00636E55">
        <w:rPr>
          <w:sz w:val="22"/>
          <w:szCs w:val="22"/>
        </w:rPr>
        <w:t xml:space="preserve">added </w:t>
      </w:r>
      <w:r w:rsidRPr="00636E55">
        <w:rPr>
          <w:sz w:val="22"/>
          <w:szCs w:val="22"/>
        </w:rPr>
        <w:t xml:space="preserve">emphasis and </w:t>
      </w:r>
      <w:r w:rsidR="00B8156B" w:rsidRPr="00636E55">
        <w:rPr>
          <w:sz w:val="22"/>
          <w:szCs w:val="22"/>
        </w:rPr>
        <w:t>note</w:t>
      </w:r>
      <w:r w:rsidRPr="00636E55">
        <w:rPr>
          <w:sz w:val="22"/>
          <w:szCs w:val="22"/>
        </w:rPr>
        <w:t xml:space="preserve"> to white paper and following comments document.</w:t>
      </w:r>
    </w:p>
    <w:p w14:paraId="55F758B8" w14:textId="4F91899E" w:rsidR="00762F51" w:rsidRPr="00636E55" w:rsidRDefault="00762F51" w:rsidP="00636E55">
      <w:pPr>
        <w:pBdr>
          <w:top w:val="single" w:sz="4" w:space="1" w:color="auto"/>
        </w:pBdr>
        <w:spacing w:before="240" w:after="120"/>
        <w:rPr>
          <w:sz w:val="22"/>
          <w:szCs w:val="22"/>
        </w:rPr>
      </w:pPr>
      <w:r w:rsidRPr="00636E55">
        <w:rPr>
          <w:sz w:val="22"/>
          <w:szCs w:val="22"/>
          <w:u w:val="single"/>
        </w:rPr>
        <w:t>August 13, 2020 – FPOM</w:t>
      </w:r>
      <w:r w:rsidRPr="00636E55">
        <w:rPr>
          <w:sz w:val="22"/>
          <w:szCs w:val="22"/>
        </w:rPr>
        <w:t xml:space="preserve">: </w:t>
      </w:r>
    </w:p>
    <w:p w14:paraId="353F2232" w14:textId="3F7E5572" w:rsidR="00762F51" w:rsidRPr="00636E55" w:rsidRDefault="00762F51" w:rsidP="0050331B">
      <w:pPr>
        <w:pStyle w:val="ListParagraph"/>
        <w:numPr>
          <w:ilvl w:val="0"/>
          <w:numId w:val="35"/>
        </w:numPr>
        <w:spacing w:after="120"/>
        <w:ind w:left="360"/>
        <w:contextualSpacing w:val="0"/>
        <w:rPr>
          <w:sz w:val="22"/>
          <w:szCs w:val="22"/>
        </w:rPr>
      </w:pPr>
      <w:r w:rsidRPr="00636E55">
        <w:rPr>
          <w:sz w:val="22"/>
          <w:szCs w:val="22"/>
        </w:rPr>
        <w:t xml:space="preserve">Anderson </w:t>
      </w:r>
      <w:r w:rsidR="00636E55">
        <w:rPr>
          <w:sz w:val="22"/>
          <w:szCs w:val="22"/>
        </w:rPr>
        <w:t>proposed tabling the</w:t>
      </w:r>
      <w:r w:rsidRPr="00636E55">
        <w:rPr>
          <w:sz w:val="22"/>
          <w:szCs w:val="22"/>
        </w:rPr>
        <w:t xml:space="preserve"> discussion for a special</w:t>
      </w:r>
      <w:r w:rsidR="00CD4119" w:rsidRPr="00636E55">
        <w:rPr>
          <w:sz w:val="22"/>
          <w:szCs w:val="22"/>
        </w:rPr>
        <w:t xml:space="preserve"> </w:t>
      </w:r>
      <w:proofErr w:type="spellStart"/>
      <w:r w:rsidR="00CD4119" w:rsidRPr="00636E55">
        <w:rPr>
          <w:sz w:val="22"/>
          <w:szCs w:val="22"/>
        </w:rPr>
        <w:t>FFDRWG</w:t>
      </w:r>
      <w:proofErr w:type="spellEnd"/>
      <w:r w:rsidR="00CD4119" w:rsidRPr="00636E55">
        <w:rPr>
          <w:sz w:val="22"/>
          <w:szCs w:val="22"/>
        </w:rPr>
        <w:t xml:space="preserve"> </w:t>
      </w:r>
      <w:r w:rsidRPr="00636E55">
        <w:rPr>
          <w:sz w:val="22"/>
          <w:szCs w:val="22"/>
        </w:rPr>
        <w:t>then Sept FPOM</w:t>
      </w:r>
      <w:r w:rsidR="00CD4119" w:rsidRPr="00636E55">
        <w:rPr>
          <w:sz w:val="22"/>
          <w:szCs w:val="22"/>
        </w:rPr>
        <w:t>.  In-depth discussions</w:t>
      </w:r>
      <w:r w:rsidRPr="00636E55">
        <w:rPr>
          <w:sz w:val="22"/>
          <w:szCs w:val="22"/>
        </w:rPr>
        <w:t xml:space="preserve"> to include Ken Ham and </w:t>
      </w:r>
      <w:r w:rsidR="00CD4119" w:rsidRPr="00636E55">
        <w:rPr>
          <w:sz w:val="22"/>
          <w:szCs w:val="22"/>
        </w:rPr>
        <w:t>P</w:t>
      </w:r>
      <w:r w:rsidRPr="00636E55">
        <w:rPr>
          <w:sz w:val="22"/>
          <w:szCs w:val="22"/>
        </w:rPr>
        <w:t xml:space="preserve">roject PM. </w:t>
      </w:r>
    </w:p>
    <w:p w14:paraId="4AF07CF9" w14:textId="54619B87" w:rsidR="00762F51" w:rsidRPr="00636E55" w:rsidRDefault="00762F51" w:rsidP="0050331B">
      <w:pPr>
        <w:pStyle w:val="ListParagraph"/>
        <w:numPr>
          <w:ilvl w:val="0"/>
          <w:numId w:val="35"/>
        </w:numPr>
        <w:spacing w:after="120"/>
        <w:ind w:left="360"/>
        <w:contextualSpacing w:val="0"/>
        <w:rPr>
          <w:sz w:val="22"/>
          <w:szCs w:val="22"/>
        </w:rPr>
      </w:pPr>
      <w:r w:rsidRPr="00636E55">
        <w:rPr>
          <w:sz w:val="22"/>
          <w:szCs w:val="22"/>
        </w:rPr>
        <w:t>Lorz wants clarity on why refurbish is no longer an option. He’ll email Anderson with questions and concerns</w:t>
      </w:r>
      <w:r w:rsidR="00CD4119" w:rsidRPr="00636E55">
        <w:rPr>
          <w:sz w:val="22"/>
          <w:szCs w:val="22"/>
        </w:rPr>
        <w:t xml:space="preserve"> to be addressed</w:t>
      </w:r>
      <w:r w:rsidRPr="00636E55">
        <w:rPr>
          <w:sz w:val="22"/>
          <w:szCs w:val="22"/>
        </w:rPr>
        <w:t>.</w:t>
      </w:r>
    </w:p>
    <w:p w14:paraId="69998A10" w14:textId="6E37583E" w:rsidR="0050331B" w:rsidRPr="00636E55" w:rsidRDefault="0050331B" w:rsidP="00431697">
      <w:pPr>
        <w:pStyle w:val="ListParagraph"/>
        <w:numPr>
          <w:ilvl w:val="0"/>
          <w:numId w:val="35"/>
        </w:numPr>
        <w:spacing w:after="120"/>
        <w:ind w:left="360"/>
        <w:contextualSpacing w:val="0"/>
        <w:rPr>
          <w:rFonts w:asciiTheme="minorHAnsi" w:hAnsiTheme="minorHAnsi" w:cstheme="minorHAnsi"/>
          <w:sz w:val="22"/>
          <w:szCs w:val="22"/>
        </w:rPr>
      </w:pPr>
      <w:r w:rsidRPr="00636E55">
        <w:rPr>
          <w:sz w:val="22"/>
          <w:szCs w:val="22"/>
        </w:rPr>
        <w:lastRenderedPageBreak/>
        <w:t xml:space="preserve">Anderson provided the </w:t>
      </w:r>
      <w:r w:rsidR="00636E55">
        <w:rPr>
          <w:sz w:val="22"/>
          <w:szCs w:val="22"/>
        </w:rPr>
        <w:t>data</w:t>
      </w:r>
      <w:r w:rsidRPr="00636E55">
        <w:rPr>
          <w:sz w:val="22"/>
          <w:szCs w:val="22"/>
        </w:rPr>
        <w:t xml:space="preserve"> files for Appendix B of the LMN Operating Gate FGE study – both are posted to the FPOM website for today’s agenda: </w:t>
      </w:r>
      <w:hyperlink r:id="rId8" w:history="1">
        <w:r w:rsidRPr="00636E55">
          <w:rPr>
            <w:rStyle w:val="Hyperlink"/>
            <w:sz w:val="22"/>
            <w:szCs w:val="22"/>
          </w:rPr>
          <w:t>pweb.crohms.org/tmt/documents/FPOM/2010/2020_FPOM_MEET/2020_AUG/</w:t>
        </w:r>
      </w:hyperlink>
    </w:p>
    <w:p w14:paraId="28D3AD97" w14:textId="62CACA4B" w:rsidR="002C3F18" w:rsidRDefault="00762F51" w:rsidP="002C3F18">
      <w:pPr>
        <w:pStyle w:val="ListParagraph"/>
        <w:numPr>
          <w:ilvl w:val="0"/>
          <w:numId w:val="35"/>
        </w:numPr>
        <w:spacing w:after="120"/>
        <w:ind w:left="360"/>
        <w:contextualSpacing w:val="0"/>
        <w:rPr>
          <w:rFonts w:asciiTheme="minorHAnsi" w:hAnsiTheme="minorHAnsi" w:cstheme="minorHAnsi"/>
          <w:sz w:val="22"/>
          <w:szCs w:val="22"/>
        </w:rPr>
      </w:pPr>
      <w:r w:rsidRPr="002C3F18">
        <w:rPr>
          <w:sz w:val="22"/>
          <w:szCs w:val="22"/>
        </w:rPr>
        <w:t xml:space="preserve">PENDING further review and discussion at a special </w:t>
      </w:r>
      <w:proofErr w:type="spellStart"/>
      <w:r w:rsidRPr="002C3F18">
        <w:rPr>
          <w:sz w:val="22"/>
          <w:szCs w:val="22"/>
        </w:rPr>
        <w:t>FFDWRG</w:t>
      </w:r>
      <w:proofErr w:type="spellEnd"/>
      <w:r w:rsidRPr="002C3F18">
        <w:rPr>
          <w:sz w:val="22"/>
          <w:szCs w:val="22"/>
        </w:rPr>
        <w:t xml:space="preserve"> (</w:t>
      </w:r>
      <w:r w:rsidR="002C3F18">
        <w:rPr>
          <w:sz w:val="22"/>
          <w:szCs w:val="22"/>
        </w:rPr>
        <w:t>9/8</w:t>
      </w:r>
      <w:r w:rsidRPr="002C3F18">
        <w:rPr>
          <w:sz w:val="22"/>
          <w:szCs w:val="22"/>
        </w:rPr>
        <w:t>) and next FPOM (</w:t>
      </w:r>
      <w:r w:rsidR="00636E55" w:rsidRPr="002C3F18">
        <w:rPr>
          <w:sz w:val="22"/>
          <w:szCs w:val="22"/>
        </w:rPr>
        <w:t>9/</w:t>
      </w:r>
      <w:r w:rsidRPr="002C3F18">
        <w:rPr>
          <w:sz w:val="22"/>
          <w:szCs w:val="22"/>
        </w:rPr>
        <w:t xml:space="preserve">11). </w:t>
      </w:r>
    </w:p>
    <w:p w14:paraId="756D1179" w14:textId="77777777" w:rsidR="00BE10CF" w:rsidRDefault="00BE10CF" w:rsidP="00BE10CF">
      <w:pPr>
        <w:pBdr>
          <w:top w:val="single" w:sz="4" w:space="1" w:color="auto"/>
        </w:pBdr>
        <w:spacing w:before="240"/>
        <w:rPr>
          <w:sz w:val="22"/>
          <w:szCs w:val="22"/>
          <w:u w:val="single"/>
        </w:rPr>
      </w:pPr>
    </w:p>
    <w:p w14:paraId="06A03B21" w14:textId="527720D1" w:rsidR="002C3F18" w:rsidRPr="00636E55" w:rsidRDefault="002C3F18" w:rsidP="00BE10CF">
      <w:pPr>
        <w:pBdr>
          <w:top w:val="single" w:sz="4" w:space="1" w:color="auto"/>
        </w:pBdr>
        <w:spacing w:after="120"/>
        <w:rPr>
          <w:sz w:val="22"/>
          <w:szCs w:val="22"/>
        </w:rPr>
      </w:pPr>
      <w:r>
        <w:rPr>
          <w:sz w:val="22"/>
          <w:szCs w:val="22"/>
          <w:u w:val="single"/>
        </w:rPr>
        <w:t>September 10</w:t>
      </w:r>
      <w:r w:rsidRPr="00636E55">
        <w:rPr>
          <w:sz w:val="22"/>
          <w:szCs w:val="22"/>
          <w:u w:val="single"/>
        </w:rPr>
        <w:t>, 2020 – FPOM</w:t>
      </w:r>
      <w:r w:rsidRPr="00636E55">
        <w:rPr>
          <w:sz w:val="22"/>
          <w:szCs w:val="22"/>
        </w:rPr>
        <w:t xml:space="preserve">: </w:t>
      </w:r>
    </w:p>
    <w:p w14:paraId="6B451279"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The regions questions were addressed at the special </w:t>
      </w:r>
      <w:proofErr w:type="spellStart"/>
      <w:r>
        <w:rPr>
          <w:sz w:val="22"/>
          <w:szCs w:val="22"/>
        </w:rPr>
        <w:t>FFDRWG</w:t>
      </w:r>
      <w:proofErr w:type="spellEnd"/>
      <w:r>
        <w:rPr>
          <w:sz w:val="22"/>
          <w:szCs w:val="22"/>
        </w:rPr>
        <w:t xml:space="preserve"> meeting on 9/8. Norton sent out the draft minutes on 9/9. </w:t>
      </w:r>
    </w:p>
    <w:p w14:paraId="35DD21B8"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Hockersmith wanted to poll the FPOM representatives. </w:t>
      </w:r>
    </w:p>
    <w:p w14:paraId="1FAA007D"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Thompson said that she still has questions based on the </w:t>
      </w:r>
      <w:proofErr w:type="spellStart"/>
      <w:r>
        <w:rPr>
          <w:sz w:val="22"/>
          <w:szCs w:val="22"/>
        </w:rPr>
        <w:t>FPC</w:t>
      </w:r>
      <w:proofErr w:type="spellEnd"/>
      <w:r>
        <w:rPr>
          <w:sz w:val="22"/>
          <w:szCs w:val="22"/>
        </w:rPr>
        <w:t xml:space="preserve"> analysis. She doesn’t feel that the Corps should be ready for a decision. </w:t>
      </w:r>
    </w:p>
    <w:p w14:paraId="69D8316B"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said that all questions need to come in writing. The Corps wants to move forward and would prefer not to elevate and resolve this in FPOM or </w:t>
      </w:r>
      <w:proofErr w:type="spellStart"/>
      <w:r>
        <w:rPr>
          <w:sz w:val="22"/>
          <w:szCs w:val="22"/>
        </w:rPr>
        <w:t>FFDRWG</w:t>
      </w:r>
      <w:proofErr w:type="spellEnd"/>
      <w:r>
        <w:rPr>
          <w:sz w:val="22"/>
          <w:szCs w:val="22"/>
        </w:rPr>
        <w:t xml:space="preserve">. </w:t>
      </w:r>
    </w:p>
    <w:p w14:paraId="04AA8475"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Ebel asked if there is funding for the telescoping option or where would that money go if it was not used on this project. The new option is a significant savings. </w:t>
      </w:r>
    </w:p>
    <w:p w14:paraId="79B03416"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didn’t know about the budget. She suggested submitting the question in writing. The project is capital funded, not </w:t>
      </w:r>
      <w:proofErr w:type="spellStart"/>
      <w:r>
        <w:rPr>
          <w:sz w:val="22"/>
          <w:szCs w:val="22"/>
        </w:rPr>
        <w:t>CRFM</w:t>
      </w:r>
      <w:proofErr w:type="spellEnd"/>
      <w:r>
        <w:rPr>
          <w:sz w:val="22"/>
          <w:szCs w:val="22"/>
        </w:rPr>
        <w:t xml:space="preserve"> funded, and the potential savings would be used on other capital projects. </w:t>
      </w:r>
    </w:p>
    <w:p w14:paraId="5F96BA70"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Lorz has concerns about using the data from LMN to make a decision at IHR. He is not sure what the spill will look like for IHR next year. He would like to see an evaluation at IHR. He wants to know more about the cost estimates. The region wasn’t involved through the 30, 60, 90 reports in NWW </w:t>
      </w:r>
      <w:proofErr w:type="spellStart"/>
      <w:r>
        <w:rPr>
          <w:sz w:val="22"/>
          <w:szCs w:val="22"/>
        </w:rPr>
        <w:t>FFDRWG</w:t>
      </w:r>
      <w:proofErr w:type="spellEnd"/>
      <w:r>
        <w:rPr>
          <w:sz w:val="22"/>
          <w:szCs w:val="22"/>
        </w:rPr>
        <w:t xml:space="preserve"> as is typical. The turbine survival program has an interest in an evaluation. </w:t>
      </w:r>
    </w:p>
    <w:p w14:paraId="0B05FF29"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said that the new </w:t>
      </w:r>
      <w:proofErr w:type="spellStart"/>
      <w:r>
        <w:rPr>
          <w:sz w:val="22"/>
          <w:szCs w:val="22"/>
        </w:rPr>
        <w:t>BiOP</w:t>
      </w:r>
      <w:proofErr w:type="spellEnd"/>
      <w:r>
        <w:rPr>
          <w:sz w:val="22"/>
          <w:szCs w:val="22"/>
        </w:rPr>
        <w:t xml:space="preserve"> will allow the Corps to look at removing screens at IHR. </w:t>
      </w:r>
    </w:p>
    <w:p w14:paraId="1101D3F3"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Lorz thinks that they don’t have enough information, especially for a big project. </w:t>
      </w:r>
    </w:p>
    <w:p w14:paraId="65E9C722" w14:textId="77777777" w:rsidR="002C3F18" w:rsidRDefault="002C3F18" w:rsidP="002C3F18">
      <w:pPr>
        <w:pStyle w:val="ListParagraph"/>
        <w:numPr>
          <w:ilvl w:val="0"/>
          <w:numId w:val="35"/>
        </w:numPr>
        <w:spacing w:after="120"/>
        <w:ind w:left="360"/>
        <w:contextualSpacing w:val="0"/>
        <w:rPr>
          <w:sz w:val="22"/>
          <w:szCs w:val="22"/>
        </w:rPr>
      </w:pPr>
      <w:proofErr w:type="spellStart"/>
      <w:r>
        <w:rPr>
          <w:sz w:val="22"/>
          <w:szCs w:val="22"/>
        </w:rPr>
        <w:t>Bellerud</w:t>
      </w:r>
      <w:proofErr w:type="spellEnd"/>
      <w:r>
        <w:rPr>
          <w:sz w:val="22"/>
          <w:szCs w:val="22"/>
        </w:rPr>
        <w:t xml:space="preserve"> said that there are multiple confounding factors before removing screens. </w:t>
      </w:r>
    </w:p>
    <w:p w14:paraId="34FBC0FA" w14:textId="0643869C" w:rsidR="002C3F18" w:rsidRPr="00AA6F0E" w:rsidRDefault="002C3F18" w:rsidP="002C3F18">
      <w:pPr>
        <w:pStyle w:val="ListParagraph"/>
        <w:numPr>
          <w:ilvl w:val="0"/>
          <w:numId w:val="35"/>
        </w:numPr>
        <w:spacing w:after="120"/>
        <w:ind w:left="360"/>
        <w:contextualSpacing w:val="0"/>
        <w:rPr>
          <w:sz w:val="22"/>
          <w:szCs w:val="22"/>
        </w:rPr>
      </w:pPr>
      <w:r>
        <w:rPr>
          <w:sz w:val="22"/>
          <w:szCs w:val="22"/>
        </w:rPr>
        <w:t>Anderson said that the survival at LM</w:t>
      </w:r>
      <w:r w:rsidRPr="00AA6F0E">
        <w:rPr>
          <w:sz w:val="22"/>
          <w:szCs w:val="22"/>
        </w:rPr>
        <w:t xml:space="preserve">N is irrelevant to this situation, but the project survival can be used at IHR as data. </w:t>
      </w:r>
    </w:p>
    <w:p w14:paraId="4C09253F" w14:textId="461D6AEF" w:rsidR="002C3F18" w:rsidRPr="00AA6F0E" w:rsidRDefault="002C3F18" w:rsidP="002C3F18">
      <w:pPr>
        <w:pStyle w:val="ListParagraph"/>
        <w:numPr>
          <w:ilvl w:val="0"/>
          <w:numId w:val="35"/>
        </w:numPr>
        <w:spacing w:after="120"/>
        <w:ind w:left="360"/>
        <w:contextualSpacing w:val="0"/>
        <w:rPr>
          <w:sz w:val="22"/>
          <w:szCs w:val="22"/>
        </w:rPr>
      </w:pPr>
      <w:r w:rsidRPr="00AA6F0E">
        <w:rPr>
          <w:sz w:val="22"/>
          <w:szCs w:val="22"/>
        </w:rPr>
        <w:t xml:space="preserve">The topic will go back to </w:t>
      </w:r>
      <w:proofErr w:type="spellStart"/>
      <w:r w:rsidRPr="00AA6F0E">
        <w:rPr>
          <w:sz w:val="22"/>
          <w:szCs w:val="22"/>
        </w:rPr>
        <w:t>FFDRWG</w:t>
      </w:r>
      <w:proofErr w:type="spellEnd"/>
      <w:r w:rsidRPr="00AA6F0E">
        <w:rPr>
          <w:sz w:val="22"/>
          <w:szCs w:val="22"/>
        </w:rPr>
        <w:t>. Setter strongly suggests sending comments in writing. The PDT is hoping to get an answer by October.</w:t>
      </w:r>
    </w:p>
    <w:p w14:paraId="2E38DFD8" w14:textId="77777777" w:rsidR="00AA6F0E" w:rsidRPr="00AA6F0E" w:rsidRDefault="00AA6F0E" w:rsidP="00AA6F0E">
      <w:pPr>
        <w:pStyle w:val="ListParagraph"/>
        <w:pBdr>
          <w:top w:val="single" w:sz="4" w:space="1" w:color="auto"/>
        </w:pBdr>
        <w:spacing w:after="120"/>
        <w:ind w:left="0"/>
        <w:rPr>
          <w:sz w:val="22"/>
          <w:szCs w:val="22"/>
          <w:u w:val="single"/>
        </w:rPr>
      </w:pPr>
    </w:p>
    <w:p w14:paraId="1F574DC4" w14:textId="240350A0" w:rsidR="00AA6F0E" w:rsidRPr="00AA6F0E" w:rsidRDefault="00AA6F0E" w:rsidP="00AA6F0E">
      <w:pPr>
        <w:pStyle w:val="ListParagraph"/>
        <w:pBdr>
          <w:top w:val="single" w:sz="4" w:space="1" w:color="auto"/>
        </w:pBdr>
        <w:spacing w:after="120"/>
        <w:ind w:left="0"/>
        <w:rPr>
          <w:sz w:val="22"/>
          <w:szCs w:val="22"/>
        </w:rPr>
      </w:pPr>
      <w:r w:rsidRPr="00AA6F0E">
        <w:rPr>
          <w:sz w:val="22"/>
          <w:szCs w:val="22"/>
          <w:u w:val="single"/>
        </w:rPr>
        <w:t>October 8, 2020 – FPOM</w:t>
      </w:r>
      <w:r w:rsidRPr="00AA6F0E">
        <w:rPr>
          <w:sz w:val="22"/>
          <w:szCs w:val="22"/>
        </w:rPr>
        <w:t xml:space="preserve">: </w:t>
      </w:r>
    </w:p>
    <w:p w14:paraId="0EBBD95C" w14:textId="7D868C90" w:rsidR="00AA6F0E" w:rsidRDefault="00A847F2" w:rsidP="00A847F2">
      <w:pPr>
        <w:pStyle w:val="ListParagraph"/>
        <w:numPr>
          <w:ilvl w:val="0"/>
          <w:numId w:val="35"/>
        </w:numPr>
        <w:spacing w:after="120"/>
        <w:contextualSpacing w:val="0"/>
        <w:rPr>
          <w:sz w:val="22"/>
          <w:szCs w:val="22"/>
        </w:rPr>
      </w:pPr>
      <w:r>
        <w:rPr>
          <w:sz w:val="22"/>
          <w:szCs w:val="22"/>
        </w:rPr>
        <w:t xml:space="preserve">Hockersmith relayed that </w:t>
      </w:r>
      <w:r w:rsidR="00AA6F0E" w:rsidRPr="00AA6F0E">
        <w:rPr>
          <w:sz w:val="22"/>
          <w:szCs w:val="22"/>
        </w:rPr>
        <w:t xml:space="preserve">Shutters </w:t>
      </w:r>
      <w:r>
        <w:rPr>
          <w:sz w:val="22"/>
          <w:szCs w:val="22"/>
        </w:rPr>
        <w:t xml:space="preserve">is </w:t>
      </w:r>
      <w:r w:rsidR="00AA6F0E" w:rsidRPr="00AA6F0E">
        <w:rPr>
          <w:sz w:val="22"/>
          <w:szCs w:val="22"/>
        </w:rPr>
        <w:t xml:space="preserve">reviewing comments and reaching out to </w:t>
      </w:r>
      <w:proofErr w:type="spellStart"/>
      <w:r w:rsidR="00AA6F0E" w:rsidRPr="00AA6F0E">
        <w:rPr>
          <w:sz w:val="22"/>
          <w:szCs w:val="22"/>
        </w:rPr>
        <w:t>PNNL</w:t>
      </w:r>
      <w:proofErr w:type="spellEnd"/>
      <w:r w:rsidR="00AA6F0E" w:rsidRPr="00AA6F0E">
        <w:rPr>
          <w:sz w:val="22"/>
          <w:szCs w:val="22"/>
        </w:rPr>
        <w:t xml:space="preserve"> for </w:t>
      </w:r>
      <w:r>
        <w:rPr>
          <w:sz w:val="22"/>
          <w:szCs w:val="22"/>
        </w:rPr>
        <w:t xml:space="preserve">a </w:t>
      </w:r>
      <w:r w:rsidR="00AA6F0E" w:rsidRPr="00AA6F0E">
        <w:rPr>
          <w:sz w:val="22"/>
          <w:szCs w:val="22"/>
        </w:rPr>
        <w:t>sensitivity analysis</w:t>
      </w:r>
      <w:r w:rsidR="0005496F">
        <w:rPr>
          <w:sz w:val="22"/>
          <w:szCs w:val="22"/>
        </w:rPr>
        <w:t xml:space="preserve"> for follow up at </w:t>
      </w:r>
      <w:proofErr w:type="spellStart"/>
      <w:r w:rsidR="0005496F">
        <w:rPr>
          <w:sz w:val="22"/>
          <w:szCs w:val="22"/>
        </w:rPr>
        <w:t>FFDRWG</w:t>
      </w:r>
      <w:proofErr w:type="spellEnd"/>
      <w:r w:rsidR="0005496F">
        <w:rPr>
          <w:sz w:val="22"/>
          <w:szCs w:val="22"/>
        </w:rPr>
        <w:t>.</w:t>
      </w:r>
    </w:p>
    <w:p w14:paraId="5F849CF7" w14:textId="5EE6CF09" w:rsidR="0005496F" w:rsidRPr="00AA6F0E" w:rsidRDefault="0005496F" w:rsidP="00A847F2">
      <w:pPr>
        <w:pStyle w:val="ListParagraph"/>
        <w:numPr>
          <w:ilvl w:val="0"/>
          <w:numId w:val="35"/>
        </w:numPr>
        <w:spacing w:after="120"/>
        <w:contextualSpacing w:val="0"/>
        <w:rPr>
          <w:sz w:val="22"/>
          <w:szCs w:val="22"/>
        </w:rPr>
      </w:pPr>
      <w:r>
        <w:rPr>
          <w:sz w:val="22"/>
          <w:szCs w:val="22"/>
        </w:rPr>
        <w:t>Morrill provided proposed edits to the “Justification” section above.</w:t>
      </w:r>
    </w:p>
    <w:p w14:paraId="0CE40766" w14:textId="77777777" w:rsidR="00CD3FE3" w:rsidRDefault="00AA6F0E" w:rsidP="00CD3FE3">
      <w:pPr>
        <w:pStyle w:val="ListParagraph"/>
        <w:numPr>
          <w:ilvl w:val="0"/>
          <w:numId w:val="35"/>
        </w:numPr>
        <w:spacing w:after="120"/>
        <w:rPr>
          <w:sz w:val="22"/>
          <w:szCs w:val="22"/>
          <w:highlight w:val="yellow"/>
        </w:rPr>
      </w:pPr>
      <w:r w:rsidRPr="00A847F2">
        <w:rPr>
          <w:b/>
          <w:bCs/>
          <w:sz w:val="22"/>
          <w:szCs w:val="22"/>
          <w:highlight w:val="yellow"/>
        </w:rPr>
        <w:t>PENDING</w:t>
      </w:r>
      <w:r w:rsidRPr="00A847F2">
        <w:rPr>
          <w:sz w:val="22"/>
          <w:szCs w:val="22"/>
          <w:highlight w:val="yellow"/>
        </w:rPr>
        <w:t xml:space="preserve">. More details to come at </w:t>
      </w:r>
      <w:proofErr w:type="spellStart"/>
      <w:r w:rsidRPr="00A847F2">
        <w:rPr>
          <w:sz w:val="22"/>
          <w:szCs w:val="22"/>
          <w:highlight w:val="yellow"/>
        </w:rPr>
        <w:t>FFDRWG</w:t>
      </w:r>
      <w:proofErr w:type="spellEnd"/>
      <w:r w:rsidRPr="00A847F2">
        <w:rPr>
          <w:sz w:val="22"/>
          <w:szCs w:val="22"/>
          <w:highlight w:val="yellow"/>
        </w:rPr>
        <w:t xml:space="preserve"> on 10/22.</w:t>
      </w:r>
    </w:p>
    <w:p w14:paraId="243F7EF2" w14:textId="77777777" w:rsidR="00CD3FE3" w:rsidRPr="00CD3FE3" w:rsidRDefault="00CD3FE3" w:rsidP="00CD3FE3">
      <w:pPr>
        <w:pStyle w:val="ListParagraph"/>
        <w:spacing w:after="120"/>
        <w:rPr>
          <w:sz w:val="22"/>
          <w:szCs w:val="22"/>
          <w:highlight w:val="yellow"/>
        </w:rPr>
      </w:pPr>
    </w:p>
    <w:p w14:paraId="5ED800F7" w14:textId="77777777" w:rsidR="00CD3FE3" w:rsidRDefault="00CD3FE3" w:rsidP="00CD3FE3">
      <w:pPr>
        <w:pStyle w:val="ListParagraph"/>
        <w:pBdr>
          <w:top w:val="single" w:sz="4" w:space="1" w:color="auto"/>
        </w:pBdr>
        <w:spacing w:after="120"/>
        <w:ind w:left="0"/>
        <w:rPr>
          <w:sz w:val="22"/>
          <w:szCs w:val="22"/>
          <w:u w:val="single"/>
        </w:rPr>
      </w:pPr>
    </w:p>
    <w:p w14:paraId="4E49CE2C" w14:textId="364FD335" w:rsidR="00CD3FE3" w:rsidRPr="00AA6F0E" w:rsidRDefault="00CD3FE3" w:rsidP="00CD3FE3">
      <w:pPr>
        <w:pStyle w:val="ListParagraph"/>
        <w:keepNext/>
        <w:spacing w:after="120"/>
        <w:ind w:left="0"/>
        <w:rPr>
          <w:sz w:val="22"/>
          <w:szCs w:val="22"/>
        </w:rPr>
      </w:pPr>
      <w:r w:rsidRPr="00AA6F0E">
        <w:rPr>
          <w:sz w:val="22"/>
          <w:szCs w:val="22"/>
          <w:u w:val="single"/>
        </w:rPr>
        <w:lastRenderedPageBreak/>
        <w:t xml:space="preserve">October </w:t>
      </w:r>
      <w:r>
        <w:rPr>
          <w:sz w:val="22"/>
          <w:szCs w:val="22"/>
          <w:u w:val="single"/>
        </w:rPr>
        <w:t>21</w:t>
      </w:r>
      <w:r w:rsidRPr="00AA6F0E">
        <w:rPr>
          <w:sz w:val="22"/>
          <w:szCs w:val="22"/>
          <w:u w:val="single"/>
        </w:rPr>
        <w:t xml:space="preserve">, 2020 – </w:t>
      </w:r>
      <w:r>
        <w:rPr>
          <w:sz w:val="22"/>
          <w:szCs w:val="22"/>
          <w:u w:val="single"/>
        </w:rPr>
        <w:t>comments from Charles Morrill, WDFW</w:t>
      </w:r>
      <w:r w:rsidRPr="00AA6F0E">
        <w:rPr>
          <w:sz w:val="22"/>
          <w:szCs w:val="22"/>
        </w:rPr>
        <w:t xml:space="preserve">: </w:t>
      </w:r>
    </w:p>
    <w:p w14:paraId="7ED129D0" w14:textId="466EC74D" w:rsidR="00CD3FE3" w:rsidRPr="00CD3FE3" w:rsidRDefault="00CD3FE3" w:rsidP="00CD3FE3">
      <w:pPr>
        <w:rPr>
          <w:sz w:val="22"/>
          <w:szCs w:val="22"/>
        </w:rPr>
      </w:pPr>
      <w:r w:rsidRPr="00CD3FE3">
        <w:rPr>
          <w:sz w:val="22"/>
          <w:szCs w:val="22"/>
        </w:rPr>
        <w:t>“</w:t>
      </w:r>
      <w:r w:rsidRPr="00CD3FE3">
        <w:rPr>
          <w:sz w:val="22"/>
          <w:szCs w:val="22"/>
        </w:rPr>
        <w:t xml:space="preserve">After reviewing and discussing the </w:t>
      </w:r>
      <w:proofErr w:type="spellStart"/>
      <w:r w:rsidRPr="00CD3FE3">
        <w:rPr>
          <w:sz w:val="22"/>
          <w:szCs w:val="22"/>
        </w:rPr>
        <w:t>FPC</w:t>
      </w:r>
      <w:proofErr w:type="spellEnd"/>
      <w:r w:rsidRPr="00CD3FE3">
        <w:rPr>
          <w:sz w:val="22"/>
          <w:szCs w:val="22"/>
        </w:rPr>
        <w:t xml:space="preserve"> reviews</w:t>
      </w:r>
      <w:r w:rsidRPr="00CD3FE3">
        <w:rPr>
          <w:rStyle w:val="FootnoteReference"/>
          <w:sz w:val="22"/>
          <w:szCs w:val="22"/>
        </w:rPr>
        <w:footnoteReference w:id="1"/>
      </w:r>
      <w:r w:rsidRPr="00CD3FE3">
        <w:rPr>
          <w:sz w:val="22"/>
          <w:szCs w:val="22"/>
        </w:rPr>
        <w:t xml:space="preserve"> of the </w:t>
      </w:r>
      <w:proofErr w:type="spellStart"/>
      <w:r w:rsidRPr="00CD3FE3">
        <w:rPr>
          <w:sz w:val="22"/>
          <w:szCs w:val="22"/>
        </w:rPr>
        <w:t>PNNL</w:t>
      </w:r>
      <w:proofErr w:type="spellEnd"/>
      <w:r w:rsidRPr="00CD3FE3">
        <w:rPr>
          <w:sz w:val="22"/>
          <w:szCs w:val="22"/>
        </w:rPr>
        <w:t xml:space="preserve"> report, August 31 and a subsequent review posted Sept 28, with </w:t>
      </w:r>
      <w:proofErr w:type="spellStart"/>
      <w:r w:rsidRPr="00CD3FE3">
        <w:rPr>
          <w:sz w:val="22"/>
          <w:szCs w:val="22"/>
        </w:rPr>
        <w:t>FPC</w:t>
      </w:r>
      <w:proofErr w:type="spellEnd"/>
      <w:r w:rsidRPr="00CD3FE3">
        <w:rPr>
          <w:sz w:val="22"/>
          <w:szCs w:val="22"/>
        </w:rPr>
        <w:t xml:space="preserve"> staff, I do not consider the </w:t>
      </w:r>
      <w:proofErr w:type="spellStart"/>
      <w:r w:rsidRPr="00CD3FE3">
        <w:rPr>
          <w:sz w:val="22"/>
          <w:szCs w:val="22"/>
        </w:rPr>
        <w:t>PNNL</w:t>
      </w:r>
      <w:proofErr w:type="spellEnd"/>
      <w:r w:rsidRPr="00CD3FE3">
        <w:rPr>
          <w:sz w:val="22"/>
          <w:szCs w:val="22"/>
        </w:rPr>
        <w:t xml:space="preserve"> report adequate to provide biological evidence that informs us as to the potential impact of the position of the operating gates at Lower Monumental Dam on FGE and survival of spring or summer migrants.  We understand the </w:t>
      </w:r>
      <w:proofErr w:type="spellStart"/>
      <w:r w:rsidRPr="00CD3FE3">
        <w:rPr>
          <w:sz w:val="22"/>
          <w:szCs w:val="22"/>
        </w:rPr>
        <w:t>PNNL</w:t>
      </w:r>
      <w:proofErr w:type="spellEnd"/>
      <w:r w:rsidRPr="00CD3FE3">
        <w:rPr>
          <w:sz w:val="22"/>
          <w:szCs w:val="22"/>
        </w:rPr>
        <w:t xml:space="preserve"> effort was well intentioned and executed within the real time realities and operational constraints of the study period.  I believe this information is inadequate to project any impacts of gate position, raised or stored, at Ice Harbor on FGE and survival on juvenile migrants nor does it provide supporting evidence for a change from dual to single stage cylinders.</w:t>
      </w:r>
    </w:p>
    <w:p w14:paraId="3B9AE7A8" w14:textId="77777777" w:rsidR="00CD3FE3" w:rsidRPr="00CD3FE3" w:rsidRDefault="00CD3FE3" w:rsidP="00CD3FE3">
      <w:pPr>
        <w:rPr>
          <w:sz w:val="22"/>
          <w:szCs w:val="22"/>
        </w:rPr>
      </w:pPr>
    </w:p>
    <w:p w14:paraId="393E1EB4" w14:textId="608CCEB1" w:rsidR="00CD3FE3" w:rsidRPr="00CD3FE3" w:rsidRDefault="00CD3FE3" w:rsidP="00CD3FE3">
      <w:pPr>
        <w:rPr>
          <w:sz w:val="22"/>
          <w:szCs w:val="22"/>
        </w:rPr>
      </w:pPr>
      <w:r w:rsidRPr="00CD3FE3">
        <w:rPr>
          <w:sz w:val="22"/>
          <w:szCs w:val="22"/>
        </w:rPr>
        <w:t xml:space="preserve">However, the mechanical and cost rationale for this change are well documented and, in my opinion, logical.  From recent discussions I understand that it may be possible to design single stage cylinders to allow the gates to be stored close to the current </w:t>
      </w:r>
      <w:proofErr w:type="spellStart"/>
      <w:r w:rsidRPr="00CD3FE3">
        <w:rPr>
          <w:sz w:val="22"/>
          <w:szCs w:val="22"/>
        </w:rPr>
        <w:t>ROG</w:t>
      </w:r>
      <w:proofErr w:type="spellEnd"/>
      <w:r w:rsidRPr="00CD3FE3">
        <w:rPr>
          <w:sz w:val="22"/>
          <w:szCs w:val="22"/>
        </w:rPr>
        <w:t xml:space="preserve"> position.  Given the discussions to date, this seems like a good idea.  WDFW will engage with our regional co-managers in any decision to support or not support the requested change from dual to single stage cylinders.</w:t>
      </w:r>
      <w:r w:rsidRPr="00CD3FE3">
        <w:rPr>
          <w:sz w:val="22"/>
          <w:szCs w:val="22"/>
        </w:rPr>
        <w:t>”</w:t>
      </w:r>
    </w:p>
    <w:p w14:paraId="1A24B471" w14:textId="77777777" w:rsidR="00CD3FE3" w:rsidRDefault="00CD3FE3" w:rsidP="00CD3FE3"/>
    <w:p w14:paraId="49FD6070" w14:textId="163C8A8C" w:rsidR="009E2CD8" w:rsidRDefault="00FF2A43" w:rsidP="00637783">
      <w:pPr>
        <w:spacing w:before="360"/>
      </w:pPr>
      <w:r w:rsidRPr="00F26CAB">
        <w:rPr>
          <w:rFonts w:ascii="Times New Roman Bold" w:hAnsi="Times New Roman Bold"/>
          <w:b/>
          <w:caps/>
          <w:u w:val="single"/>
        </w:rPr>
        <w:t>Record of Final Action</w:t>
      </w:r>
      <w:r w:rsidRPr="009C6814">
        <w:t>:</w:t>
      </w:r>
      <w:r w:rsidR="00FA6501">
        <w:t xml:space="preserve"> </w:t>
      </w:r>
    </w:p>
    <w:p w14:paraId="586E0D2D" w14:textId="10FC4F8B" w:rsidR="00102DF0" w:rsidRDefault="00102DF0">
      <w:r>
        <w:br w:type="page"/>
      </w:r>
    </w:p>
    <w:p w14:paraId="37234F3C" w14:textId="77777777" w:rsidR="00102DF0" w:rsidRDefault="00102DF0" w:rsidP="00102DF0">
      <w:pPr>
        <w:spacing w:after="160"/>
        <w:jc w:val="center"/>
        <w:rPr>
          <w:rFonts w:asciiTheme="minorHAnsi" w:eastAsiaTheme="minorHAnsi" w:hAnsiTheme="minorHAnsi" w:cstheme="minorBidi"/>
          <w:sz w:val="22"/>
          <w:szCs w:val="22"/>
        </w:rPr>
        <w:sectPr w:rsidR="00102DF0" w:rsidSect="00F35470">
          <w:footerReference w:type="default" r:id="rId9"/>
          <w:pgSz w:w="12240" w:h="15840"/>
          <w:pgMar w:top="1440" w:right="1440" w:bottom="1440" w:left="1440" w:header="720" w:footer="720" w:gutter="0"/>
          <w:cols w:space="720"/>
          <w:docGrid w:linePitch="360"/>
        </w:sectPr>
      </w:pPr>
    </w:p>
    <w:p w14:paraId="7048F5BF" w14:textId="0324D59B"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Dam Head Gate Cylinder Replacement</w:t>
      </w:r>
    </w:p>
    <w:p w14:paraId="3A0881F2" w14:textId="77777777"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Prepared by: Karl Anderson</w:t>
      </w:r>
    </w:p>
    <w:p w14:paraId="736DE792" w14:textId="77777777" w:rsidR="00102DF0" w:rsidRDefault="00102DF0" w:rsidP="00102DF0">
      <w:pPr>
        <w:spacing w:after="160"/>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6/12/20</w:t>
      </w:r>
    </w:p>
    <w:p w14:paraId="43046B75" w14:textId="2FE3ECEA" w:rsidR="006819DC" w:rsidRPr="00B325C4" w:rsidRDefault="006819DC" w:rsidP="006819DC">
      <w:pPr>
        <w:spacing w:after="160"/>
        <w:jc w:val="center"/>
        <w:rPr>
          <w:rFonts w:asciiTheme="minorHAnsi" w:eastAsiaTheme="minorHAnsi" w:hAnsiTheme="minorHAnsi" w:cstheme="minorBidi"/>
          <w:b/>
          <w:i/>
          <w:color w:val="FF0000"/>
          <w:sz w:val="22"/>
          <w:szCs w:val="22"/>
        </w:rPr>
      </w:pPr>
      <w:r w:rsidRPr="00B325C4">
        <w:rPr>
          <w:rFonts w:asciiTheme="minorHAnsi" w:eastAsiaTheme="minorHAnsi" w:hAnsiTheme="minorHAnsi" w:cstheme="minorBidi"/>
          <w:b/>
          <w:i/>
          <w:color w:val="FF0000"/>
          <w:sz w:val="22"/>
          <w:szCs w:val="22"/>
          <w:highlight w:val="yellow"/>
        </w:rPr>
        <w:t xml:space="preserve">[Emphasis </w:t>
      </w:r>
      <w:r w:rsidR="00B325C4" w:rsidRPr="00B325C4">
        <w:rPr>
          <w:rFonts w:asciiTheme="minorHAnsi" w:eastAsiaTheme="minorHAnsi" w:hAnsiTheme="minorHAnsi" w:cstheme="minorBidi"/>
          <w:b/>
          <w:i/>
          <w:color w:val="FF0000"/>
          <w:sz w:val="22"/>
          <w:szCs w:val="22"/>
          <w:highlight w:val="yellow"/>
        </w:rPr>
        <w:t xml:space="preserve">and comment </w:t>
      </w:r>
      <w:r w:rsidRPr="00B325C4">
        <w:rPr>
          <w:rFonts w:asciiTheme="minorHAnsi" w:eastAsiaTheme="minorHAnsi" w:hAnsiTheme="minorHAnsi" w:cstheme="minorBidi"/>
          <w:b/>
          <w:i/>
          <w:color w:val="FF0000"/>
          <w:sz w:val="22"/>
          <w:szCs w:val="22"/>
          <w:highlight w:val="yellow"/>
        </w:rPr>
        <w:t xml:space="preserve">added by Charles Morrill, </w:t>
      </w:r>
      <w:r w:rsidR="00CD4119">
        <w:rPr>
          <w:rFonts w:asciiTheme="minorHAnsi" w:eastAsiaTheme="minorHAnsi" w:hAnsiTheme="minorHAnsi" w:cstheme="minorBidi"/>
          <w:b/>
          <w:i/>
          <w:color w:val="FF0000"/>
          <w:sz w:val="22"/>
          <w:szCs w:val="22"/>
          <w:highlight w:val="yellow"/>
        </w:rPr>
        <w:t xml:space="preserve">WDFW, </w:t>
      </w:r>
      <w:r w:rsidRPr="00B325C4">
        <w:rPr>
          <w:rFonts w:asciiTheme="minorHAnsi" w:eastAsiaTheme="minorHAnsi" w:hAnsiTheme="minorHAnsi" w:cstheme="minorBidi"/>
          <w:b/>
          <w:i/>
          <w:color w:val="FF0000"/>
          <w:sz w:val="22"/>
          <w:szCs w:val="22"/>
          <w:highlight w:val="yellow"/>
        </w:rPr>
        <w:t>8/12/20]</w:t>
      </w:r>
    </w:p>
    <w:p w14:paraId="3DE4078D" w14:textId="012B0A10"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Purpose</w:t>
      </w:r>
      <w:r>
        <w:rPr>
          <w:rFonts w:asciiTheme="minorHAnsi" w:eastAsiaTheme="minorHAnsi" w:hAnsiTheme="minorHAnsi" w:cstheme="minorBidi"/>
          <w:b/>
          <w:sz w:val="22"/>
          <w:szCs w:val="22"/>
        </w:rPr>
        <w:t>:</w:t>
      </w:r>
    </w:p>
    <w:p w14:paraId="70027533" w14:textId="4B11D1E8"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The purpose of this document is to provide background information and justification to support the replacement of the existing multistage hydraulic cylinders with single stage cylinders (as originally designed) for operation of the Ice Harbor turbine intake head gates, also referred to as the operating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or emergency operating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The multistage cylinders are ageing and risk the inability to respond to an emergency.  The single stage cylinders are significantly less expensive and have a lower risk of oil leakage due to the reduced number (~50% less) of oil seals required. The reduced number of seals provid</w:t>
      </w:r>
      <w:r w:rsidR="0083417F">
        <w:rPr>
          <w:rFonts w:asciiTheme="minorHAnsi" w:eastAsiaTheme="minorHAnsi" w:hAnsiTheme="minorHAnsi" w:cstheme="minorBidi"/>
          <w:sz w:val="22"/>
          <w:szCs w:val="22"/>
        </w:rPr>
        <w:t>e</w:t>
      </w:r>
      <w:r w:rsidRPr="00102DF0">
        <w:rPr>
          <w:rFonts w:asciiTheme="minorHAnsi" w:eastAsiaTheme="minorHAnsi" w:hAnsiTheme="minorHAnsi" w:cstheme="minorBidi"/>
          <w:sz w:val="22"/>
          <w:szCs w:val="22"/>
        </w:rPr>
        <w:t xml:space="preserve"> a benefit to fish with reduced chance for oil spills.  In addition, this approach improves the reliability to maintain project operations that optimize passage for adult attraction and juvenile egress.</w:t>
      </w:r>
    </w:p>
    <w:p w14:paraId="29572296"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Introduction:</w:t>
      </w:r>
    </w:p>
    <w:p w14:paraId="0ED68E1E" w14:textId="05AE7ED6"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In the early 1990’s</w:t>
      </w:r>
      <w:r w:rsidR="008341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original single stage hydraulic cylinders used to deploy the emergency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within the Ice Harbor turbine intakes were replaced with multistage hydraulic cylinders. These multistage cylinders were installed to allow for storage of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in what is called the “raised” position (Raised Operating Gate; </w:t>
      </w:r>
      <w:proofErr w:type="spellStart"/>
      <w:r w:rsidRPr="00102DF0">
        <w:rPr>
          <w:rFonts w:asciiTheme="minorHAnsi" w:eastAsiaTheme="minorHAnsi" w:hAnsiTheme="minorHAnsi" w:cstheme="minorBidi"/>
          <w:sz w:val="22"/>
          <w:szCs w:val="22"/>
        </w:rPr>
        <w:t>ROG</w:t>
      </w:r>
      <w:proofErr w:type="spellEnd"/>
      <w:r w:rsidRPr="00102DF0">
        <w:rPr>
          <w:rFonts w:asciiTheme="minorHAnsi" w:eastAsiaTheme="minorHAnsi" w:hAnsiTheme="minorHAnsi" w:cstheme="minorBidi"/>
          <w:sz w:val="22"/>
          <w:szCs w:val="22"/>
        </w:rPr>
        <w:t xml:space="preserve">) versus the original stored position (Stored Operating Gate;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these also maintain the USACE required ten minute closure capability. Based on studies conducted at McNary in the late 1980’s, it was believed that raising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would increase turbine intake screen guidance efficiency by as much as 10 percent.  Therefore, based on the McNary study, the single stage cylinders were replaced with multistage cylinders when the Ice Harbor Juvenile Bypass System was being constructed.  </w:t>
      </w:r>
    </w:p>
    <w:p w14:paraId="5816BC29"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sz w:val="22"/>
          <w:szCs w:val="22"/>
        </w:rPr>
        <w:t xml:space="preserve">Because of the multistage cylinders, Ice Harbor is able to store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in the raised position while maintaining the 10-minute closure requirement.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at McNary, Lower Monumental, Little Goose and Lower Granite were also raised and stored at the “raised” position to increase FGE.  However, due to the replacement cost of the multistage cylinders, the single stage cylinders at these projects were removed from the gates, and the turbine intake gantry crane has been used to raise and dog these head gates into the “raised” position. Unlike at Ice Harbor, these gates cannot be deployed within the required 10-minute closure time. </w:t>
      </w:r>
    </w:p>
    <w:p w14:paraId="7B3D51A0" w14:textId="77777777" w:rsidR="00102DF0" w:rsidRPr="00102DF0"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u w:val="single"/>
        </w:rPr>
        <w:t xml:space="preserve">Studies were conducted at McNary, Little Goose and Lower Monumental Dams to estimate the FGE of turbine operations with the </w:t>
      </w:r>
      <w:proofErr w:type="spellStart"/>
      <w:r w:rsidRPr="008D5997">
        <w:rPr>
          <w:rFonts w:asciiTheme="minorHAnsi" w:eastAsiaTheme="minorHAnsi" w:hAnsiTheme="minorHAnsi" w:cstheme="minorBidi"/>
          <w:sz w:val="22"/>
          <w:szCs w:val="22"/>
          <w:u w:val="single"/>
        </w:rPr>
        <w:t>headgates</w:t>
      </w:r>
      <w:proofErr w:type="spellEnd"/>
      <w:r w:rsidRPr="008D5997">
        <w:rPr>
          <w:rFonts w:asciiTheme="minorHAnsi" w:eastAsiaTheme="minorHAnsi" w:hAnsiTheme="minorHAnsi" w:cstheme="minorBidi"/>
          <w:sz w:val="22"/>
          <w:szCs w:val="22"/>
          <w:u w:val="single"/>
        </w:rPr>
        <w:t xml:space="preserve"> in original “stored” position versus the “raised” position.  The results for all three studies showed no significant difference in FGE between the two gate positions.</w:t>
      </w:r>
      <w:r w:rsidRPr="008D5997">
        <w:rPr>
          <w:rFonts w:asciiTheme="minorHAnsi" w:eastAsiaTheme="minorHAnsi" w:hAnsiTheme="minorHAnsi" w:cstheme="minorBidi"/>
          <w:sz w:val="22"/>
          <w:szCs w:val="22"/>
        </w:rPr>
        <w:t xml:space="preserve">  Since the turbine intake screens installed at McNary and Little Goose dams are the extended length submersible bar screens (ESBS) and are similar to those at the Lower Granite dam, the study results were applied to Lower Granite, and the </w:t>
      </w:r>
      <w:proofErr w:type="spellStart"/>
      <w:r w:rsidRPr="008D5997">
        <w:rPr>
          <w:rFonts w:asciiTheme="minorHAnsi" w:eastAsiaTheme="minorHAnsi" w:hAnsiTheme="minorHAnsi" w:cstheme="minorBidi"/>
          <w:sz w:val="22"/>
          <w:szCs w:val="22"/>
        </w:rPr>
        <w:t>headgates</w:t>
      </w:r>
      <w:proofErr w:type="spellEnd"/>
      <w:r w:rsidRPr="008D5997">
        <w:rPr>
          <w:rFonts w:asciiTheme="minorHAnsi" w:eastAsiaTheme="minorHAnsi" w:hAnsiTheme="minorHAnsi" w:cstheme="minorBidi"/>
          <w:sz w:val="22"/>
          <w:szCs w:val="22"/>
        </w:rPr>
        <w:t xml:space="preserve"> of these three dams have been or will be returned to their original stored position with 10 minute closure capability.  </w:t>
      </w:r>
      <w:r w:rsidRPr="008D5997">
        <w:rPr>
          <w:rFonts w:asciiTheme="minorHAnsi" w:eastAsiaTheme="minorHAnsi" w:hAnsiTheme="minorHAnsi" w:cstheme="minorBidi"/>
          <w:sz w:val="22"/>
          <w:szCs w:val="22"/>
          <w:u w:val="single"/>
        </w:rPr>
        <w:t xml:space="preserve">Since Lower Monumental has the shorter submerged traveling screens (STS) and not the longer ESBSs a third FGE study of </w:t>
      </w:r>
      <w:proofErr w:type="spellStart"/>
      <w:r w:rsidRPr="008D5997">
        <w:rPr>
          <w:rFonts w:asciiTheme="minorHAnsi" w:eastAsiaTheme="minorHAnsi" w:hAnsiTheme="minorHAnsi" w:cstheme="minorBidi"/>
          <w:sz w:val="22"/>
          <w:szCs w:val="22"/>
          <w:u w:val="single"/>
        </w:rPr>
        <w:t>headgate</w:t>
      </w:r>
      <w:proofErr w:type="spellEnd"/>
      <w:r w:rsidRPr="008D5997">
        <w:rPr>
          <w:rFonts w:asciiTheme="minorHAnsi" w:eastAsiaTheme="minorHAnsi" w:hAnsiTheme="minorHAnsi" w:cstheme="minorBidi"/>
          <w:sz w:val="22"/>
          <w:szCs w:val="22"/>
          <w:u w:val="single"/>
        </w:rPr>
        <w:t xml:space="preserve"> “stored” versus </w:t>
      </w:r>
      <w:proofErr w:type="spellStart"/>
      <w:r w:rsidRPr="008D5997">
        <w:rPr>
          <w:rFonts w:asciiTheme="minorHAnsi" w:eastAsiaTheme="minorHAnsi" w:hAnsiTheme="minorHAnsi" w:cstheme="minorBidi"/>
          <w:sz w:val="22"/>
          <w:szCs w:val="22"/>
          <w:u w:val="single"/>
        </w:rPr>
        <w:t>headgate</w:t>
      </w:r>
      <w:proofErr w:type="spellEnd"/>
      <w:r w:rsidRPr="008D5997">
        <w:rPr>
          <w:rFonts w:asciiTheme="minorHAnsi" w:eastAsiaTheme="minorHAnsi" w:hAnsiTheme="minorHAnsi" w:cstheme="minorBidi"/>
          <w:sz w:val="22"/>
          <w:szCs w:val="22"/>
          <w:u w:val="single"/>
        </w:rPr>
        <w:t xml:space="preserve"> “raised” was performed at Lower Monumental Dam</w:t>
      </w:r>
      <w:r w:rsidRPr="008D5997">
        <w:rPr>
          <w:rFonts w:asciiTheme="minorHAnsi" w:eastAsiaTheme="minorHAnsi" w:hAnsiTheme="minorHAnsi" w:cstheme="minorBidi"/>
          <w:sz w:val="22"/>
          <w:szCs w:val="22"/>
        </w:rPr>
        <w:t xml:space="preserve">.  </w:t>
      </w:r>
      <w:r w:rsidRPr="008D5997">
        <w:rPr>
          <w:rFonts w:asciiTheme="minorHAnsi" w:eastAsiaTheme="minorHAnsi" w:hAnsiTheme="minorHAnsi" w:cstheme="minorBidi"/>
          <w:sz w:val="22"/>
          <w:szCs w:val="22"/>
          <w:highlight w:val="yellow"/>
          <w:u w:val="single"/>
        </w:rPr>
        <w:t>This study also showed no significant difference in FGE between the two gate positions.</w:t>
      </w:r>
      <w:r w:rsidRPr="008D5997">
        <w:rPr>
          <w:rFonts w:asciiTheme="minorHAnsi" w:eastAsiaTheme="minorHAnsi" w:hAnsiTheme="minorHAnsi" w:cstheme="minorBidi"/>
          <w:sz w:val="22"/>
          <w:szCs w:val="22"/>
        </w:rPr>
        <w:t xml:space="preserve">  Since Ice Harbor is similar in design to Lower Monumental and has the same STS screens installed, </w:t>
      </w:r>
      <w:r w:rsidRPr="008D5997">
        <w:rPr>
          <w:rFonts w:asciiTheme="minorHAnsi" w:eastAsiaTheme="minorHAnsi" w:hAnsiTheme="minorHAnsi" w:cstheme="minorBidi"/>
          <w:color w:val="FF0000"/>
          <w:sz w:val="22"/>
          <w:szCs w:val="22"/>
          <w:highlight w:val="yellow"/>
          <w:u w:val="single"/>
        </w:rPr>
        <w:t xml:space="preserve">it is expected the </w:t>
      </w:r>
      <w:proofErr w:type="spellStart"/>
      <w:r w:rsidRPr="008D5997">
        <w:rPr>
          <w:rFonts w:asciiTheme="minorHAnsi" w:eastAsiaTheme="minorHAnsi" w:hAnsiTheme="minorHAnsi" w:cstheme="minorBidi"/>
          <w:color w:val="FF0000"/>
          <w:sz w:val="22"/>
          <w:szCs w:val="22"/>
          <w:highlight w:val="yellow"/>
          <w:u w:val="single"/>
        </w:rPr>
        <w:t>headgates’</w:t>
      </w:r>
      <w:proofErr w:type="spellEnd"/>
      <w:r w:rsidRPr="008D5997">
        <w:rPr>
          <w:rFonts w:asciiTheme="minorHAnsi" w:eastAsiaTheme="minorHAnsi" w:hAnsiTheme="minorHAnsi" w:cstheme="minorBidi"/>
          <w:color w:val="FF0000"/>
          <w:sz w:val="22"/>
          <w:szCs w:val="22"/>
          <w:highlight w:val="yellow"/>
          <w:u w:val="single"/>
        </w:rPr>
        <w:t xml:space="preserve"> position whether “raised” or “stored” has little to no significant influence on FGE</w:t>
      </w:r>
      <w:r w:rsidRPr="008D5997">
        <w:rPr>
          <w:rFonts w:asciiTheme="minorHAnsi" w:eastAsiaTheme="minorHAnsi" w:hAnsiTheme="minorHAnsi" w:cstheme="minorBidi"/>
          <w:sz w:val="22"/>
          <w:szCs w:val="22"/>
        </w:rPr>
        <w:t>.  The recommendation by the PDT is to replace the failing multistage operating gate cylind</w:t>
      </w:r>
      <w:r w:rsidRPr="00102DF0">
        <w:rPr>
          <w:rFonts w:asciiTheme="minorHAnsi" w:eastAsiaTheme="minorHAnsi" w:hAnsiTheme="minorHAnsi" w:cstheme="minorBidi"/>
          <w:sz w:val="22"/>
          <w:szCs w:val="22"/>
        </w:rPr>
        <w:t xml:space="preserve">ers at Ice Harbor with lower cost single </w:t>
      </w:r>
      <w:r w:rsidRPr="00102DF0">
        <w:rPr>
          <w:rFonts w:asciiTheme="minorHAnsi" w:eastAsiaTheme="minorHAnsi" w:hAnsiTheme="minorHAnsi" w:cstheme="minorBidi"/>
          <w:sz w:val="22"/>
          <w:szCs w:val="22"/>
        </w:rPr>
        <w:lastRenderedPageBreak/>
        <w:t xml:space="preserve">stage cylinders which would return the </w:t>
      </w:r>
      <w:proofErr w:type="spellStart"/>
      <w:r w:rsidRPr="00102DF0">
        <w:rPr>
          <w:rFonts w:asciiTheme="minorHAnsi" w:eastAsiaTheme="minorHAnsi" w:hAnsiTheme="minorHAnsi" w:cstheme="minorBidi"/>
          <w:sz w:val="22"/>
          <w:szCs w:val="22"/>
        </w:rPr>
        <w:t>headgates</w:t>
      </w:r>
      <w:proofErr w:type="spellEnd"/>
      <w:r w:rsidRPr="00102DF0">
        <w:rPr>
          <w:rFonts w:asciiTheme="minorHAnsi" w:eastAsiaTheme="minorHAnsi" w:hAnsiTheme="minorHAnsi" w:cstheme="minorBidi"/>
          <w:sz w:val="22"/>
          <w:szCs w:val="22"/>
        </w:rPr>
        <w:t xml:space="preserve"> to the originally stored position and maintain the 10 minute closure requirement. </w:t>
      </w:r>
    </w:p>
    <w:p w14:paraId="7A715411" w14:textId="6B2DAB7A" w:rsid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Background</w:t>
      </w:r>
      <w:r>
        <w:rPr>
          <w:rFonts w:asciiTheme="minorHAnsi" w:eastAsiaTheme="minorHAnsi" w:hAnsiTheme="minorHAnsi" w:cstheme="minorBidi"/>
          <w:b/>
          <w:sz w:val="22"/>
          <w:szCs w:val="22"/>
        </w:rPr>
        <w:t>:</w:t>
      </w:r>
    </w:p>
    <w:p w14:paraId="7F2767E2" w14:textId="0F705C61"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Submersible traveling screens (STSs) and extended-length submersible bar screens (ESBS) were installed to guide fish entering turbine intakes away from turbines upward to the gatewell slot. Vertical barrier screens (</w:t>
      </w:r>
      <w:proofErr w:type="spellStart"/>
      <w:r w:rsidRPr="00102DF0">
        <w:rPr>
          <w:rFonts w:asciiTheme="minorHAnsi" w:eastAsiaTheme="minorHAnsi" w:hAnsiTheme="minorHAnsi" w:cstheme="minorBidi"/>
          <w:sz w:val="22"/>
          <w:szCs w:val="22"/>
        </w:rPr>
        <w:t>VBSs</w:t>
      </w:r>
      <w:proofErr w:type="spellEnd"/>
      <w:r w:rsidRPr="00102DF0">
        <w:rPr>
          <w:rFonts w:asciiTheme="minorHAnsi" w:eastAsiaTheme="minorHAnsi" w:hAnsiTheme="minorHAnsi" w:cstheme="minorBidi"/>
          <w:sz w:val="22"/>
          <w:szCs w:val="22"/>
        </w:rPr>
        <w:t>) were installed between the orifices and the operating gates</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as well as turning vanes to direct flow from the upper portion of the screen into gatewells (Ham et al. 2009a, 2009b, 2009c, 2009d).  Turbine operating (head) gates (three per turbine) close off the turbine unit intakes in case of emergencies or for the dewatering of the turbine unit for inspection and repairs. Originally, the operating gates were kept in the stored position on hydraulic cylinders, which allowed for efficient gate operations for the required 10 minute closure capability in the event of an emergency. Early studies like </w:t>
      </w:r>
      <w:proofErr w:type="spellStart"/>
      <w:r w:rsidRPr="00102DF0">
        <w:rPr>
          <w:rFonts w:asciiTheme="minorHAnsi" w:eastAsiaTheme="minorHAnsi" w:hAnsiTheme="minorHAnsi" w:cstheme="minorBidi"/>
          <w:sz w:val="22"/>
          <w:szCs w:val="22"/>
        </w:rPr>
        <w:t>Ledgerwood</w:t>
      </w:r>
      <w:proofErr w:type="spellEnd"/>
      <w:r w:rsidRPr="00102DF0">
        <w:rPr>
          <w:rFonts w:asciiTheme="minorHAnsi" w:eastAsiaTheme="minorHAnsi" w:hAnsiTheme="minorHAnsi" w:cstheme="minorBidi"/>
          <w:sz w:val="22"/>
          <w:szCs w:val="22"/>
        </w:rPr>
        <w:t xml:space="preserve"> et al. (1987) suggested that keeping the operating gates in the raised position instead of the stored position </w:t>
      </w:r>
      <w:r w:rsidRPr="00102DF0">
        <w:rPr>
          <w:rFonts w:asciiTheme="minorHAnsi" w:eastAsiaTheme="minorHAnsi" w:hAnsiTheme="minorHAnsi" w:cstheme="minorBidi"/>
          <w:b/>
          <w:sz w:val="22"/>
          <w:szCs w:val="22"/>
        </w:rPr>
        <w:t>(Fig. 1</w:t>
      </w:r>
      <w:r w:rsidRPr="00102DF0">
        <w:rPr>
          <w:rFonts w:asciiTheme="minorHAnsi" w:eastAsiaTheme="minorHAnsi" w:hAnsiTheme="minorHAnsi" w:cstheme="minorBidi"/>
          <w:sz w:val="22"/>
          <w:szCs w:val="22"/>
        </w:rPr>
        <w:t>) increased fish guidance efficiency (FGE), which is the proportion of fish entering the turbine intakes that are diverted into the juvenile bypass system (JBS). As a result, operating gates at Walla Walla District dams were maintained in the raised position since the early 1990’s</w:t>
      </w:r>
      <w:r>
        <w:rPr>
          <w:rFonts w:asciiTheme="minorHAnsi" w:eastAsiaTheme="minorHAnsi" w:hAnsiTheme="minorHAnsi" w:cstheme="minorBidi"/>
          <w:sz w:val="22"/>
          <w:szCs w:val="22"/>
        </w:rPr>
        <w:t>.</w:t>
      </w:r>
    </w:p>
    <w:p w14:paraId="68B31492" w14:textId="77777777" w:rsidR="00102DF0" w:rsidRPr="00102DF0" w:rsidRDefault="00102DF0" w:rsidP="00102DF0">
      <w:pPr>
        <w:rPr>
          <w:rFonts w:asciiTheme="minorHAnsi" w:eastAsiaTheme="minorHAnsi" w:hAnsiTheme="minorHAnsi" w:cstheme="minorBidi"/>
          <w:sz w:val="22"/>
          <w:szCs w:val="22"/>
        </w:rPr>
      </w:pPr>
      <w:r w:rsidRPr="00102DF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78EC7C2" wp14:editId="0B9200C5">
                <wp:simplePos x="0" y="0"/>
                <wp:positionH relativeFrom="column">
                  <wp:posOffset>998220</wp:posOffset>
                </wp:positionH>
                <wp:positionV relativeFrom="paragraph">
                  <wp:posOffset>1500505</wp:posOffset>
                </wp:positionV>
                <wp:extent cx="47244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65ADB68F" w14:textId="77777777" w:rsidR="00102DF0" w:rsidRPr="003870A5" w:rsidRDefault="00102DF0" w:rsidP="00102DF0">
                            <w:pPr>
                              <w:rPr>
                                <w:b/>
                              </w:rPr>
                            </w:pPr>
                            <w:proofErr w:type="spellStart"/>
                            <w:r w:rsidRPr="003870A5">
                              <w:rPr>
                                <w:b/>
                              </w:rPr>
                              <w:t>SOG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C7C2" id="_x0000_t202" coordsize="21600,21600" o:spt="202" path="m,l,21600r21600,l21600,xe">
                <v:stroke joinstyle="miter"/>
                <v:path gradientshapeok="t" o:connecttype="rect"/>
              </v:shapetype>
              <v:shape id="Text Box 7" o:spid="_x0000_s1026" type="#_x0000_t202" style="position:absolute;margin-left:78.6pt;margin-top:118.15pt;width:37.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" filled="f" stroked="f" strokeweight=".5pt">
                <v:textbox>
                  <w:txbxContent>
                    <w:p w14:paraId="65ADB68F" w14:textId="77777777" w:rsidR="00102DF0" w:rsidRPr="003870A5" w:rsidRDefault="00102DF0" w:rsidP="00102DF0">
                      <w:pPr>
                        <w:rPr>
                          <w:b/>
                        </w:rPr>
                      </w:pPr>
                      <w:proofErr w:type="spellStart"/>
                      <w:r w:rsidRPr="003870A5">
                        <w:rPr>
                          <w:b/>
                        </w:rPr>
                        <w:t>SOG</w:t>
                      </w:r>
                      <w:proofErr w:type="spellEnd"/>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B344E3E" wp14:editId="20AAA812">
                <wp:simplePos x="0" y="0"/>
                <wp:positionH relativeFrom="column">
                  <wp:posOffset>3909060</wp:posOffset>
                </wp:positionH>
                <wp:positionV relativeFrom="paragraph">
                  <wp:posOffset>6985</wp:posOffset>
                </wp:positionV>
                <wp:extent cx="47244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544182EF" w14:textId="77777777" w:rsidR="00102DF0" w:rsidRPr="003870A5" w:rsidRDefault="00102DF0" w:rsidP="00102DF0">
                            <w:pPr>
                              <w:rPr>
                                <w:b/>
                              </w:rPr>
                            </w:pPr>
                            <w:proofErr w:type="spellStart"/>
                            <w:r>
                              <w:rPr>
                                <w:b/>
                              </w:rPr>
                              <w:t>R</w:t>
                            </w:r>
                            <w:r w:rsidRPr="003870A5">
                              <w:rPr>
                                <w:b/>
                              </w:rPr>
                              <w:t>OG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4E3E" id="Text Box 8" o:spid="_x0000_s1027" type="#_x0000_t202" style="position:absolute;margin-left:307.8pt;margin-top:.55pt;width:3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" filled="f" stroked="f" strokeweight=".5pt">
                <v:textbox>
                  <w:txbxContent>
                    <w:p w14:paraId="544182EF" w14:textId="77777777" w:rsidR="00102DF0" w:rsidRPr="003870A5" w:rsidRDefault="00102DF0" w:rsidP="00102DF0">
                      <w:pPr>
                        <w:rPr>
                          <w:b/>
                        </w:rPr>
                      </w:pPr>
                      <w:proofErr w:type="spellStart"/>
                      <w:r>
                        <w:rPr>
                          <w:b/>
                        </w:rPr>
                        <w:t>R</w:t>
                      </w:r>
                      <w:r w:rsidRPr="003870A5">
                        <w:rPr>
                          <w:b/>
                        </w:rPr>
                        <w:t>OG</w:t>
                      </w:r>
                      <w:proofErr w:type="spellEnd"/>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DFE84A5" wp14:editId="38337A12">
                <wp:simplePos x="0" y="0"/>
                <wp:positionH relativeFrom="column">
                  <wp:posOffset>1371600</wp:posOffset>
                </wp:positionH>
                <wp:positionV relativeFrom="paragraph">
                  <wp:posOffset>761365</wp:posOffset>
                </wp:positionV>
                <wp:extent cx="60960" cy="9525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1F3F26" id="Rectangle 6" o:spid="_x0000_s1026" style="position:absolute;margin-left:108pt;margin-top:59.95pt;width:4.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9DECCFF" wp14:editId="636B1EE9">
                <wp:simplePos x="0" y="0"/>
                <wp:positionH relativeFrom="column">
                  <wp:posOffset>4274820</wp:posOffset>
                </wp:positionH>
                <wp:positionV relativeFrom="paragraph">
                  <wp:posOffset>227965</wp:posOffset>
                </wp:positionV>
                <wp:extent cx="60960" cy="9525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2820FE" id="Rectangle 5" o:spid="_x0000_s1026" style="position:absolute;margin-left:336.6pt;margin-top:17.95pt;width:4.8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w:drawing>
          <wp:inline distT="0" distB="0" distL="0" distR="0" wp14:anchorId="1F8DCD67" wp14:editId="1E0DAC75">
            <wp:extent cx="2863587" cy="2498433"/>
            <wp:effectExtent l="19050" t="19050" r="1333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2882219" cy="2514689"/>
                    </a:xfrm>
                    <a:prstGeom prst="rect">
                      <a:avLst/>
                    </a:prstGeom>
                    <a:ln>
                      <a:solidFill>
                        <a:sysClr val="windowText" lastClr="000000"/>
                      </a:solidFill>
                    </a:ln>
                  </pic:spPr>
                </pic:pic>
              </a:graphicData>
            </a:graphic>
          </wp:inline>
        </w:drawing>
      </w:r>
      <w:r w:rsidRPr="00102DF0">
        <w:rPr>
          <w:rFonts w:ascii="Calibri" w:eastAsia="Calibri" w:hAnsi="Calibri"/>
          <w:noProof/>
          <w:sz w:val="22"/>
          <w:szCs w:val="22"/>
        </w:rPr>
        <w:drawing>
          <wp:inline distT="0" distB="0" distL="0" distR="0" wp14:anchorId="0D9DB549" wp14:editId="76406E82">
            <wp:extent cx="2862072" cy="2497111"/>
            <wp:effectExtent l="19050" t="19050" r="1460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2862072" cy="2497111"/>
                    </a:xfrm>
                    <a:prstGeom prst="rect">
                      <a:avLst/>
                    </a:prstGeom>
                    <a:ln>
                      <a:solidFill>
                        <a:sysClr val="windowText" lastClr="000000"/>
                      </a:solidFill>
                    </a:ln>
                  </pic:spPr>
                </pic:pic>
              </a:graphicData>
            </a:graphic>
          </wp:inline>
        </w:drawing>
      </w:r>
    </w:p>
    <w:p w14:paraId="392923BE" w14:textId="77777777" w:rsidR="00102DF0" w:rsidRPr="00102DF0" w:rsidRDefault="00102DF0" w:rsidP="00102DF0">
      <w:pPr>
        <w:autoSpaceDE w:val="0"/>
        <w:autoSpaceDN w:val="0"/>
        <w:adjustRightInd w:val="0"/>
        <w:rPr>
          <w:rFonts w:asciiTheme="minorHAnsi" w:eastAsiaTheme="minorHAnsi" w:hAnsiTheme="minorHAnsi" w:cstheme="minorHAnsi"/>
          <w:b/>
          <w:color w:val="231F20"/>
          <w:sz w:val="22"/>
          <w:szCs w:val="22"/>
        </w:rPr>
      </w:pPr>
      <w:r w:rsidRPr="00102DF0">
        <w:rPr>
          <w:rFonts w:asciiTheme="minorHAnsi" w:eastAsiaTheme="minorHAnsi" w:hAnsiTheme="minorHAnsi" w:cstheme="minorHAnsi"/>
          <w:b/>
          <w:sz w:val="22"/>
          <w:szCs w:val="22"/>
        </w:rPr>
        <w:t xml:space="preserve">Figure 1. </w:t>
      </w:r>
      <w:r w:rsidRPr="00102DF0">
        <w:rPr>
          <w:rFonts w:asciiTheme="minorHAnsi" w:eastAsiaTheme="minorHAnsi" w:hAnsiTheme="minorHAnsi" w:cstheme="minorHAnsi"/>
          <w:b/>
          <w:color w:val="231F20"/>
          <w:sz w:val="22"/>
          <w:szCs w:val="22"/>
        </w:rPr>
        <w:t>Side View of the Turbine Intake Stored Operating Gate (</w:t>
      </w:r>
      <w:proofErr w:type="spellStart"/>
      <w:r w:rsidRPr="00102DF0">
        <w:rPr>
          <w:rFonts w:asciiTheme="minorHAnsi" w:eastAsiaTheme="minorHAnsi" w:hAnsiTheme="minorHAnsi" w:cstheme="minorHAnsi"/>
          <w:b/>
          <w:color w:val="231F20"/>
          <w:sz w:val="22"/>
          <w:szCs w:val="22"/>
        </w:rPr>
        <w:t>SOG</w:t>
      </w:r>
      <w:proofErr w:type="spellEnd"/>
      <w:r w:rsidRPr="00102DF0">
        <w:rPr>
          <w:rFonts w:asciiTheme="minorHAnsi" w:eastAsiaTheme="minorHAnsi" w:hAnsiTheme="minorHAnsi" w:cstheme="minorHAnsi"/>
          <w:b/>
          <w:color w:val="231F20"/>
          <w:sz w:val="22"/>
          <w:szCs w:val="22"/>
        </w:rPr>
        <w:t>) in red (left) and Raised Operating Gate (</w:t>
      </w:r>
      <w:proofErr w:type="spellStart"/>
      <w:r w:rsidRPr="00102DF0">
        <w:rPr>
          <w:rFonts w:asciiTheme="minorHAnsi" w:eastAsiaTheme="minorHAnsi" w:hAnsiTheme="minorHAnsi" w:cstheme="minorHAnsi"/>
          <w:b/>
          <w:color w:val="231F20"/>
          <w:sz w:val="22"/>
          <w:szCs w:val="22"/>
        </w:rPr>
        <w:t>ROG</w:t>
      </w:r>
      <w:proofErr w:type="spellEnd"/>
      <w:r w:rsidRPr="00102DF0">
        <w:rPr>
          <w:rFonts w:asciiTheme="minorHAnsi" w:eastAsiaTheme="minorHAnsi" w:hAnsiTheme="minorHAnsi" w:cstheme="minorHAnsi"/>
          <w:b/>
          <w:color w:val="231F20"/>
          <w:sz w:val="22"/>
          <w:szCs w:val="22"/>
        </w:rPr>
        <w:t xml:space="preserve">) in red (right) with STS screens (~20ft in length). (From Ham and </w:t>
      </w:r>
      <w:proofErr w:type="spellStart"/>
      <w:r w:rsidRPr="00102DF0">
        <w:rPr>
          <w:rFonts w:asciiTheme="minorHAnsi" w:eastAsiaTheme="minorHAnsi" w:hAnsiTheme="minorHAnsi" w:cstheme="minorHAnsi"/>
          <w:b/>
          <w:color w:val="231F20"/>
          <w:sz w:val="22"/>
          <w:szCs w:val="22"/>
        </w:rPr>
        <w:t>Titzler</w:t>
      </w:r>
      <w:proofErr w:type="spellEnd"/>
      <w:r w:rsidRPr="00102DF0">
        <w:rPr>
          <w:rFonts w:asciiTheme="minorHAnsi" w:eastAsiaTheme="minorHAnsi" w:hAnsiTheme="minorHAnsi" w:cstheme="minorHAnsi"/>
          <w:b/>
          <w:color w:val="231F20"/>
          <w:sz w:val="22"/>
          <w:szCs w:val="22"/>
        </w:rPr>
        <w:t xml:space="preserve"> 2020).</w:t>
      </w:r>
    </w:p>
    <w:p w14:paraId="7A4D0FC7" w14:textId="77777777" w:rsidR="00102DF0" w:rsidRPr="00102DF0" w:rsidRDefault="00102DF0" w:rsidP="00102DF0">
      <w:pPr>
        <w:autoSpaceDE w:val="0"/>
        <w:autoSpaceDN w:val="0"/>
        <w:adjustRightInd w:val="0"/>
        <w:rPr>
          <w:rFonts w:asciiTheme="minorHAnsi" w:eastAsiaTheme="minorHAnsi" w:hAnsiTheme="minorHAnsi" w:cstheme="minorBidi"/>
          <w:sz w:val="22"/>
          <w:szCs w:val="22"/>
        </w:rPr>
      </w:pPr>
    </w:p>
    <w:p w14:paraId="713721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Recent re-evaluations of FGE using split-beam sonar at McNary, Lower Monumental, and Little Goose dams found no significant decrease to FGE from lowering the operating gates to the original stored operating position (Ham et al. 2013, 2017, </w:t>
      </w:r>
      <w:proofErr w:type="gramStart"/>
      <w:r w:rsidRPr="00102DF0">
        <w:rPr>
          <w:rFonts w:asciiTheme="minorHAnsi" w:eastAsiaTheme="minorHAnsi" w:hAnsiTheme="minorHAnsi" w:cstheme="minorBidi"/>
          <w:sz w:val="22"/>
          <w:szCs w:val="22"/>
        </w:rPr>
        <w:t>2020</w:t>
      </w:r>
      <w:proofErr w:type="gramEnd"/>
      <w:r w:rsidRPr="00102DF0">
        <w:rPr>
          <w:rFonts w:asciiTheme="minorHAnsi" w:eastAsiaTheme="minorHAnsi" w:hAnsiTheme="minorHAnsi" w:cstheme="minorBidi"/>
          <w:sz w:val="22"/>
          <w:szCs w:val="22"/>
        </w:rPr>
        <w:t>).</w:t>
      </w:r>
    </w:p>
    <w:p w14:paraId="6B19B4E1" w14:textId="03834832" w:rsid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conducted a study at Lower Monumental Dam in 2019 to evaluate FGE changes in Raised vs. Stored operating gate, because Lower Monumental Dam has STS screens as opposed to the ESBS Screens at Little Goose and McNary Dams.  In 2019, spill operations followed a “Flexible Spill Agreement” for Columbia River System Operations entered into by federal action agencies, the states of Oregon and Washington, and the Nez Perce Tribe; objectives include providing benefits to fish and the federal power system, as well as providing operational feasibility for USACE at federal dams. That agreement called for spill to 120% total dissolved gas in the tailrace for a minimum of 16-hours per day during the spring period (through 20 June at Snake River projects</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During the remaining 8</w:t>
      </w:r>
      <w:r w:rsidR="00510B7F">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hours per day</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agreement provides flexibility to reduce spill during limited periods of the day when </w:t>
      </w:r>
      <w:r w:rsidRPr="00102DF0">
        <w:rPr>
          <w:rFonts w:asciiTheme="minorHAnsi" w:eastAsiaTheme="minorHAnsi" w:hAnsiTheme="minorHAnsi" w:cstheme="minorBidi"/>
          <w:sz w:val="22"/>
          <w:szCs w:val="22"/>
        </w:rPr>
        <w:lastRenderedPageBreak/>
        <w:t xml:space="preserve">hydropower production is needed most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Lower Monumental summer spill operations in 2019 was 17 kcfs while Ice Harbor’s was 30%. </w:t>
      </w:r>
    </w:p>
    <w:p w14:paraId="71896E2B" w14:textId="5785B8AF" w:rsidR="00E402DD" w:rsidRPr="00102DF0" w:rsidRDefault="00E402DD" w:rsidP="00E402DD">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Ice Harbor power house 10-year average flow (</w:t>
      </w:r>
      <w:r w:rsidRPr="00102DF0">
        <w:rPr>
          <w:rFonts w:asciiTheme="minorHAnsi" w:eastAsiaTheme="minorHAnsi" w:hAnsiTheme="minorHAnsi" w:cstheme="minorBidi"/>
          <w:b/>
          <w:sz w:val="22"/>
          <w:szCs w:val="22"/>
        </w:rPr>
        <w:t>Fig. 2</w:t>
      </w:r>
      <w:r w:rsidRPr="00102DF0">
        <w:rPr>
          <w:rFonts w:asciiTheme="minorHAnsi" w:eastAsiaTheme="minorHAnsi" w:hAnsiTheme="minorHAnsi" w:cstheme="minorBidi"/>
          <w:sz w:val="22"/>
          <w:szCs w:val="22"/>
        </w:rPr>
        <w:t>) flow is less than Lower Monumental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thus likely less of a concern for summer migrants passing into the PH. More spill flow will draw more downstream migrants through the spillway passage than turbine passage. </w:t>
      </w:r>
    </w:p>
    <w:p w14:paraId="543D071C" w14:textId="77777777" w:rsidR="00102DF0" w:rsidRPr="00102DF0" w:rsidRDefault="00102DF0" w:rsidP="007C1194">
      <w:pPr>
        <w:spacing w:before="240"/>
        <w:jc w:val="center"/>
        <w:rPr>
          <w:rFonts w:asciiTheme="minorHAnsi" w:eastAsiaTheme="minorHAnsi" w:hAnsiTheme="minorHAnsi" w:cstheme="minorBidi"/>
          <w:color w:val="D47400"/>
          <w:sz w:val="22"/>
          <w:szCs w:val="22"/>
        </w:rPr>
      </w:pPr>
      <w:r w:rsidRPr="00102DF0">
        <w:rPr>
          <w:rFonts w:asciiTheme="minorHAnsi" w:eastAsiaTheme="minorHAnsi" w:hAnsiTheme="minorHAnsi" w:cstheme="minorBidi"/>
          <w:noProof/>
          <w:color w:val="D47400"/>
          <w:sz w:val="22"/>
          <w:szCs w:val="22"/>
        </w:rPr>
        <w:drawing>
          <wp:inline distT="0" distB="0" distL="0" distR="0" wp14:anchorId="20DC6BE3" wp14:editId="5193089E">
            <wp:extent cx="4401036"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1036" cy="2560320"/>
                    </a:xfrm>
                    <a:prstGeom prst="rect">
                      <a:avLst/>
                    </a:prstGeom>
                    <a:noFill/>
                  </pic:spPr>
                </pic:pic>
              </a:graphicData>
            </a:graphic>
          </wp:inline>
        </w:drawing>
      </w:r>
    </w:p>
    <w:p w14:paraId="4446A240"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Figure 2: 10-year average percent flow through the power house at Ice Harbor and Lower Monumental Dam during summer. Source: Columbia River DART, Columbia Basin Research, University of Washington. (2020).</w:t>
      </w:r>
    </w:p>
    <w:p w14:paraId="663D60D4" w14:textId="7D3F52F7" w:rsidR="00102DF0"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highlight w:val="yellow"/>
          <w:u w:val="single"/>
        </w:rPr>
        <w:t xml:space="preserve">Ham and </w:t>
      </w:r>
      <w:proofErr w:type="spellStart"/>
      <w:r w:rsidRPr="008D5997">
        <w:rPr>
          <w:rFonts w:asciiTheme="minorHAnsi" w:eastAsiaTheme="minorHAnsi" w:hAnsiTheme="minorHAnsi" w:cstheme="minorBidi"/>
          <w:sz w:val="22"/>
          <w:szCs w:val="22"/>
          <w:highlight w:val="yellow"/>
          <w:u w:val="single"/>
        </w:rPr>
        <w:t>Titzler</w:t>
      </w:r>
      <w:proofErr w:type="spellEnd"/>
      <w:r w:rsidRPr="008D5997">
        <w:rPr>
          <w:rFonts w:asciiTheme="minorHAnsi" w:eastAsiaTheme="minorHAnsi" w:hAnsiTheme="minorHAnsi" w:cstheme="minorBidi"/>
          <w:sz w:val="22"/>
          <w:szCs w:val="22"/>
          <w:highlight w:val="yellow"/>
          <w:u w:val="single"/>
        </w:rPr>
        <w:t xml:space="preserve"> (2020) found that estimated spring migrants FGE for the stored operating gate (</w:t>
      </w:r>
      <w:proofErr w:type="spellStart"/>
      <w:r w:rsidRPr="008D5997">
        <w:rPr>
          <w:rFonts w:asciiTheme="minorHAnsi" w:eastAsiaTheme="minorHAnsi" w:hAnsiTheme="minorHAnsi" w:cstheme="minorBidi"/>
          <w:sz w:val="22"/>
          <w:szCs w:val="22"/>
          <w:highlight w:val="yellow"/>
          <w:u w:val="single"/>
        </w:rPr>
        <w:t>SOG</w:t>
      </w:r>
      <w:proofErr w:type="spellEnd"/>
      <w:r w:rsidRPr="008D5997">
        <w:rPr>
          <w:rFonts w:asciiTheme="minorHAnsi" w:eastAsiaTheme="minorHAnsi" w:hAnsiTheme="minorHAnsi" w:cstheme="minorBidi"/>
          <w:sz w:val="22"/>
          <w:szCs w:val="22"/>
          <w:highlight w:val="yellow"/>
          <w:u w:val="single"/>
        </w:rPr>
        <w:t>) treatment was not significantly (P=0.47) lower (81.8% vs. 82.6%) than for the raised operating gate (</w:t>
      </w:r>
      <w:proofErr w:type="spellStart"/>
      <w:r w:rsidRPr="008D5997">
        <w:rPr>
          <w:rFonts w:asciiTheme="minorHAnsi" w:eastAsiaTheme="minorHAnsi" w:hAnsiTheme="minorHAnsi" w:cstheme="minorBidi"/>
          <w:sz w:val="22"/>
          <w:szCs w:val="22"/>
          <w:highlight w:val="yellow"/>
          <w:u w:val="single"/>
        </w:rPr>
        <w:t>ROG</w:t>
      </w:r>
      <w:proofErr w:type="spellEnd"/>
      <w:r w:rsidRPr="008D5997">
        <w:rPr>
          <w:rFonts w:asciiTheme="minorHAnsi" w:eastAsiaTheme="minorHAnsi" w:hAnsiTheme="minorHAnsi" w:cstheme="minorBidi"/>
          <w:sz w:val="22"/>
          <w:szCs w:val="22"/>
          <w:highlight w:val="yellow"/>
          <w:u w:val="single"/>
        </w:rPr>
        <w:t>) treatment</w:t>
      </w:r>
      <w:r w:rsidRPr="008D5997">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 xml:space="preserve">During the summer study period, FGE for the </w:t>
      </w:r>
      <w:proofErr w:type="spellStart"/>
      <w:r w:rsidRPr="00102DF0">
        <w:rPr>
          <w:rFonts w:asciiTheme="minorHAnsi" w:eastAsiaTheme="minorHAnsi" w:hAnsiTheme="minorHAnsi" w:cstheme="minorBidi"/>
          <w:sz w:val="22"/>
          <w:szCs w:val="22"/>
        </w:rPr>
        <w:t>ROG</w:t>
      </w:r>
      <w:proofErr w:type="spellEnd"/>
      <w:r w:rsidRPr="00102DF0">
        <w:rPr>
          <w:rFonts w:asciiTheme="minorHAnsi" w:eastAsiaTheme="minorHAnsi" w:hAnsiTheme="minorHAnsi" w:cstheme="minorBidi"/>
          <w:sz w:val="22"/>
          <w:szCs w:val="22"/>
        </w:rPr>
        <w:t xml:space="preserve"> treatment was also not significantly (P=0.87) different (80.9% vs. 80.7%) from the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treatment. During this study no mortality events in the gatewells or orifices were seen (Chuck Barnes, Personal Communication 6/29/2020).  </w:t>
      </w:r>
    </w:p>
    <w:p w14:paraId="0E95F53A" w14:textId="7DD02994" w:rsidR="004C31B7" w:rsidRPr="00847BAF" w:rsidRDefault="00847BAF" w:rsidP="008D5997">
      <w:pPr>
        <w:spacing w:after="160"/>
        <w:ind w:left="432"/>
        <w:rPr>
          <w:rFonts w:eastAsiaTheme="minorHAnsi"/>
          <w:i/>
          <w:sz w:val="22"/>
          <w:szCs w:val="22"/>
          <w:u w:val="single"/>
        </w:rPr>
      </w:pPr>
      <w:r>
        <w:rPr>
          <w:rFonts w:eastAsiaTheme="minorHAnsi"/>
          <w:i/>
          <w:color w:val="2E74B5" w:themeColor="accent1" w:themeShade="BF"/>
          <w:sz w:val="22"/>
          <w:szCs w:val="22"/>
          <w:u w:val="single"/>
        </w:rPr>
        <w:t>8/12/20 comment from Charles Morrill, WDFW</w:t>
      </w:r>
      <w:r w:rsidR="00CD1142" w:rsidRPr="00847BAF">
        <w:rPr>
          <w:rFonts w:eastAsiaTheme="minorHAnsi"/>
          <w:i/>
          <w:color w:val="2E74B5" w:themeColor="accent1" w:themeShade="BF"/>
          <w:sz w:val="22"/>
          <w:szCs w:val="22"/>
        </w:rPr>
        <w:t xml:space="preserve">:  </w:t>
      </w:r>
      <w:r>
        <w:rPr>
          <w:rFonts w:eastAsiaTheme="minorHAnsi"/>
          <w:i/>
          <w:color w:val="2E74B5" w:themeColor="accent1" w:themeShade="BF"/>
          <w:sz w:val="22"/>
          <w:szCs w:val="22"/>
        </w:rPr>
        <w:t>“</w:t>
      </w:r>
      <w:r w:rsidR="00CD1142" w:rsidRPr="00847BAF">
        <w:rPr>
          <w:rFonts w:eastAsiaTheme="minorHAnsi"/>
          <w:i/>
          <w:color w:val="2E74B5" w:themeColor="accent1" w:themeShade="BF"/>
          <w:sz w:val="22"/>
          <w:szCs w:val="22"/>
        </w:rPr>
        <w:t xml:space="preserve">However, the point estimates and confidence limits presented in the </w:t>
      </w:r>
      <w:proofErr w:type="spellStart"/>
      <w:r w:rsidR="00CD1142" w:rsidRPr="00847BAF">
        <w:rPr>
          <w:rFonts w:eastAsiaTheme="minorHAnsi"/>
          <w:i/>
          <w:color w:val="2E74B5" w:themeColor="accent1" w:themeShade="BF"/>
          <w:sz w:val="22"/>
          <w:szCs w:val="22"/>
        </w:rPr>
        <w:t>PNNL</w:t>
      </w:r>
      <w:proofErr w:type="spellEnd"/>
      <w:r w:rsidR="00CD1142" w:rsidRPr="00847BAF">
        <w:rPr>
          <w:rFonts w:eastAsiaTheme="minorHAnsi"/>
          <w:i/>
          <w:color w:val="2E74B5" w:themeColor="accent1" w:themeShade="BF"/>
          <w:sz w:val="22"/>
          <w:szCs w:val="22"/>
        </w:rPr>
        <w:t xml:space="preserve"> report when applied to FGE and spring migrants route passage survival estimates means that more spring migrants will pass through the turbines with the gates in the stored position versus the raised position.  Expanding this to Ice Harbor, ignores the small negative impact reported at Lower Monumental Dam in the </w:t>
      </w:r>
      <w:proofErr w:type="spellStart"/>
      <w:r w:rsidR="00CD1142" w:rsidRPr="00847BAF">
        <w:rPr>
          <w:rFonts w:eastAsiaTheme="minorHAnsi"/>
          <w:i/>
          <w:color w:val="2E74B5" w:themeColor="accent1" w:themeShade="BF"/>
          <w:sz w:val="22"/>
          <w:szCs w:val="22"/>
        </w:rPr>
        <w:t>PNNL</w:t>
      </w:r>
      <w:proofErr w:type="spellEnd"/>
      <w:r w:rsidR="00CD1142" w:rsidRPr="00847BAF">
        <w:rPr>
          <w:rFonts w:eastAsiaTheme="minorHAnsi"/>
          <w:i/>
          <w:color w:val="2E74B5" w:themeColor="accent1" w:themeShade="BF"/>
          <w:sz w:val="22"/>
          <w:szCs w:val="22"/>
        </w:rPr>
        <w:t xml:space="preserve"> report.  In </w:t>
      </w:r>
      <w:proofErr w:type="spellStart"/>
      <w:r w:rsidR="00F11F2B" w:rsidRPr="00847BAF">
        <w:rPr>
          <w:rFonts w:eastAsiaTheme="minorHAnsi"/>
          <w:i/>
          <w:color w:val="2E74B5" w:themeColor="accent1" w:themeShade="BF"/>
          <w:sz w:val="22"/>
          <w:szCs w:val="22"/>
        </w:rPr>
        <w:t>WDFW’s</w:t>
      </w:r>
      <w:proofErr w:type="spellEnd"/>
      <w:r w:rsidR="00F11F2B" w:rsidRPr="00847BAF">
        <w:rPr>
          <w:rFonts w:eastAsiaTheme="minorHAnsi"/>
          <w:i/>
          <w:color w:val="2E74B5" w:themeColor="accent1" w:themeShade="BF"/>
          <w:sz w:val="22"/>
          <w:szCs w:val="22"/>
        </w:rPr>
        <w:t xml:space="preserve"> opinion this need</w:t>
      </w:r>
      <w:r w:rsidR="00FE311D" w:rsidRPr="00847BAF">
        <w:rPr>
          <w:rFonts w:eastAsiaTheme="minorHAnsi"/>
          <w:i/>
          <w:color w:val="2E74B5" w:themeColor="accent1" w:themeShade="BF"/>
          <w:sz w:val="22"/>
          <w:szCs w:val="22"/>
        </w:rPr>
        <w:t>s</w:t>
      </w:r>
      <w:r w:rsidR="00F11F2B" w:rsidRPr="00847BAF">
        <w:rPr>
          <w:rFonts w:eastAsiaTheme="minorHAnsi"/>
          <w:i/>
          <w:color w:val="2E74B5" w:themeColor="accent1" w:themeShade="BF"/>
          <w:sz w:val="22"/>
          <w:szCs w:val="22"/>
        </w:rPr>
        <w:t xml:space="preserve"> to be acknowledged in the white paper and change form.  We understand the </w:t>
      </w:r>
      <w:proofErr w:type="spellStart"/>
      <w:r w:rsidR="00F11F2B" w:rsidRPr="00847BAF">
        <w:rPr>
          <w:rFonts w:eastAsiaTheme="minorHAnsi"/>
          <w:i/>
          <w:color w:val="2E74B5" w:themeColor="accent1" w:themeShade="BF"/>
          <w:sz w:val="22"/>
          <w:szCs w:val="22"/>
        </w:rPr>
        <w:t>COE’s</w:t>
      </w:r>
      <w:proofErr w:type="spellEnd"/>
      <w:r w:rsidR="00F11F2B" w:rsidRPr="00847BAF">
        <w:rPr>
          <w:rFonts w:eastAsiaTheme="minorHAnsi"/>
          <w:i/>
          <w:color w:val="2E74B5" w:themeColor="accent1" w:themeShade="BF"/>
          <w:sz w:val="22"/>
          <w:szCs w:val="22"/>
        </w:rPr>
        <w:t xml:space="preserve"> rationale for their recommendation but cannot support the change form that does not specifically acknowledge</w:t>
      </w:r>
      <w:r w:rsidR="00FE311D" w:rsidRPr="00847BAF">
        <w:rPr>
          <w:rFonts w:eastAsiaTheme="minorHAnsi"/>
          <w:i/>
          <w:color w:val="2E74B5" w:themeColor="accent1" w:themeShade="BF"/>
          <w:sz w:val="22"/>
          <w:szCs w:val="22"/>
        </w:rPr>
        <w:t xml:space="preserve"> a </w:t>
      </w:r>
      <w:r w:rsidR="00F11F2B" w:rsidRPr="00847BAF">
        <w:rPr>
          <w:rFonts w:eastAsiaTheme="minorHAnsi"/>
          <w:i/>
          <w:color w:val="2E74B5" w:themeColor="accent1" w:themeShade="BF"/>
          <w:sz w:val="22"/>
          <w:szCs w:val="22"/>
        </w:rPr>
        <w:t>potential negative biological impact for spring migrants at Ice Harbor, however small.</w:t>
      </w:r>
      <w:r>
        <w:rPr>
          <w:rFonts w:eastAsiaTheme="minorHAnsi"/>
          <w:i/>
          <w:color w:val="2E74B5" w:themeColor="accent1" w:themeShade="BF"/>
          <w:sz w:val="22"/>
          <w:szCs w:val="22"/>
        </w:rPr>
        <w:t>”</w:t>
      </w:r>
      <w:r w:rsidR="00F11F2B" w:rsidRPr="00847BAF">
        <w:rPr>
          <w:rFonts w:eastAsiaTheme="minorHAnsi"/>
          <w:i/>
          <w:color w:val="2E74B5" w:themeColor="accent1" w:themeShade="BF"/>
          <w:sz w:val="22"/>
          <w:szCs w:val="22"/>
          <w:u w:val="single"/>
        </w:rPr>
        <w:t xml:space="preserve">  </w:t>
      </w:r>
    </w:p>
    <w:p w14:paraId="5BB88513"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Whole project passage and survival estimates for subyearling Chinook salmon from radio and acoustic telemetry studies with operating gates in the raised position ranged from 0.9414 to 0.9797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When passage route proportions were adjusted to reflect a hypothetical stored gate scenario, there was little change in estimated survival, which ranged from −0.0002 (a slight reduction) to +0.0002 (a slight increase). These differences can be restated as a potential change in survival of plus or minus two hundredths of a percent. In all cases, the computed dam-wide survivals for the stored gate scenarios remained above the BiOp survival requirement of 0.93 for subyearling Chinook salmon (Ham and </w:t>
      </w:r>
      <w:proofErr w:type="spellStart"/>
      <w:r w:rsidRPr="00102DF0">
        <w:rPr>
          <w:rFonts w:asciiTheme="minorHAnsi" w:eastAsiaTheme="minorHAnsi" w:hAnsiTheme="minorHAnsi" w:cstheme="minorBidi"/>
          <w:sz w:val="22"/>
          <w:szCs w:val="22"/>
        </w:rPr>
        <w:t>Titzler</w:t>
      </w:r>
      <w:proofErr w:type="spellEnd"/>
      <w:r w:rsidRPr="00102DF0">
        <w:rPr>
          <w:rFonts w:asciiTheme="minorHAnsi" w:eastAsiaTheme="minorHAnsi" w:hAnsiTheme="minorHAnsi" w:cstheme="minorBidi"/>
          <w:sz w:val="22"/>
          <w:szCs w:val="22"/>
        </w:rPr>
        <w:t xml:space="preserve"> 2020).  Raised or lowered operating gates have little effect on FGE at Lower Monumental Dam which suggests Ice Harbor Dam, which also uses STS screens, should likely have a similar result.  </w:t>
      </w:r>
    </w:p>
    <w:p w14:paraId="50D5FE7F" w14:textId="77777777" w:rsidR="00102DF0" w:rsidRPr="00102DF0" w:rsidRDefault="00102DF0" w:rsidP="006647DC">
      <w:pPr>
        <w:keepNext/>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lastRenderedPageBreak/>
        <w:t>Justification for change:</w:t>
      </w:r>
    </w:p>
    <w:p w14:paraId="3C912AC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Ice Harbor Dam operating gates are currently maintained in a raised operating position using multistage telescoping cylinders that need to be replaced due to age and condition to maintain operational reliability and safety.  Starting around 2011, several Trouble Reports (</w:t>
      </w:r>
      <w:proofErr w:type="spellStart"/>
      <w:r w:rsidRPr="00102DF0">
        <w:rPr>
          <w:rFonts w:asciiTheme="minorHAnsi" w:eastAsiaTheme="minorHAnsi" w:hAnsiTheme="minorHAnsi" w:cstheme="minorBidi"/>
          <w:sz w:val="22"/>
          <w:szCs w:val="22"/>
        </w:rPr>
        <w:t>TRs</w:t>
      </w:r>
      <w:proofErr w:type="spellEnd"/>
      <w:r w:rsidRPr="00102DF0">
        <w:rPr>
          <w:rFonts w:asciiTheme="minorHAnsi" w:eastAsiaTheme="minorHAnsi" w:hAnsiTheme="minorHAnsi" w:cstheme="minorBidi"/>
          <w:sz w:val="22"/>
          <w:szCs w:val="22"/>
        </w:rPr>
        <w:t xml:space="preserve">) from shift operators in the Facilities and Equipment Maintenance (FEM) database documented multiple oil leaks, desiccant filter replacements, and remote operation of the intake gate pumps failures.  In the last 7 years, there have been two failures of the intake gate hydraulic system where the intake gates dropped while the units were operating.  Recently there have been 4 reportable oil spills due to hydraulic seal issues (July 2017, August 2017, April 2018, and August 2018).  The current hydraulic system is increasingly unreliable. Updating to the single stage cylinders improves all facets of the intake gate hydraulic system, by improving seals, spill containment, and oil handling equipment reducing both the likelihood and impact of oil discharge to the river.  In addition, these upgrade benefits will restore operational safety to the plant generators by assuring timely response to cut off flow of water through the turbines in the event of failure of the water control equipment.  </w:t>
      </w:r>
    </w:p>
    <w:p w14:paraId="2821CEB5" w14:textId="44BB43D2" w:rsidR="00102DF0" w:rsidRPr="00102DF0" w:rsidRDefault="00102DF0" w:rsidP="00102DF0">
      <w:pPr>
        <w:spacing w:after="24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We propose to replace the telescoping cylinders with single stage cylinders because of lower cost of replacement, and the single stage cylinders have fewer seals that could fail. When the seals of a hydraulic cylinder fail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unit is removed from service until repairs can be made. In addition, this approach improves the reliability to maintain project operations that optimize passage for adult attraction and juvenile egress by reducing the number of potential points of failure (the seals).  Single stage cylinders would require the operating gates be in the </w:t>
      </w:r>
      <w:proofErr w:type="spellStart"/>
      <w:r w:rsidRPr="00102DF0">
        <w:rPr>
          <w:rFonts w:asciiTheme="minorHAnsi" w:eastAsiaTheme="minorHAnsi" w:hAnsiTheme="minorHAnsi" w:cstheme="minorBidi"/>
          <w:sz w:val="22"/>
          <w:szCs w:val="22"/>
        </w:rPr>
        <w:t>SOG</w:t>
      </w:r>
      <w:proofErr w:type="spellEnd"/>
      <w:r w:rsidRPr="00102DF0">
        <w:rPr>
          <w:rFonts w:asciiTheme="minorHAnsi" w:eastAsiaTheme="minorHAnsi" w:hAnsiTheme="minorHAnsi" w:cstheme="minorBidi"/>
          <w:sz w:val="22"/>
          <w:szCs w:val="22"/>
        </w:rPr>
        <w:t xml:space="preserve"> or original stored position. The recommended alternatives (</w:t>
      </w:r>
      <w:r w:rsidRPr="00102DF0">
        <w:rPr>
          <w:rFonts w:asciiTheme="minorHAnsi" w:eastAsiaTheme="minorHAnsi" w:hAnsiTheme="minorHAnsi" w:cstheme="minorBidi"/>
          <w:b/>
          <w:sz w:val="22"/>
          <w:szCs w:val="22"/>
        </w:rPr>
        <w:t>Table 1</w:t>
      </w:r>
      <w:r w:rsidRPr="00102DF0">
        <w:rPr>
          <w:rFonts w:asciiTheme="minorHAnsi" w:eastAsiaTheme="minorHAnsi" w:hAnsiTheme="minorHAnsi" w:cstheme="minorBidi"/>
          <w:sz w:val="22"/>
          <w:szCs w:val="22"/>
        </w:rPr>
        <w:t xml:space="preserve">) from the PDT are to replace the new hydraulic system, reuse existing tanks and piping and new single stage cylinders for a Contract cost of $10.2M, total project costs about $11.5M. The second preferred alternative would be to replace the new hydraulic system, reuse existing tanks and piping and new in kind telescoping cylinders for a Contract cost of $17.0M, total project costs about $18.5M. That’s a difference of 52% to 47%. The third alternative would be refurbishment of the existing telescoping cylinders at a cost of roughly $13.5M. However, maintenance and operation of the telescoping cylinder should be considered (more complex cylinders require more maintenance). </w:t>
      </w:r>
    </w:p>
    <w:tbl>
      <w:tblPr>
        <w:tblStyle w:val="TableGrid"/>
        <w:tblW w:w="5000" w:type="pct"/>
        <w:jc w:val="center"/>
        <w:tblLook w:val="04A0" w:firstRow="1" w:lastRow="0" w:firstColumn="1" w:lastColumn="0" w:noHBand="0" w:noVBand="1"/>
      </w:tblPr>
      <w:tblGrid>
        <w:gridCol w:w="1179"/>
        <w:gridCol w:w="886"/>
        <w:gridCol w:w="1978"/>
        <w:gridCol w:w="2072"/>
        <w:gridCol w:w="3235"/>
      </w:tblGrid>
      <w:tr w:rsidR="00102DF0" w:rsidRPr="007C1194" w14:paraId="7D729911" w14:textId="77777777" w:rsidTr="007C1194">
        <w:trPr>
          <w:cantSplit/>
          <w:tblHeader/>
          <w:jc w:val="center"/>
        </w:trPr>
        <w:tc>
          <w:tcPr>
            <w:tcW w:w="630" w:type="pct"/>
          </w:tcPr>
          <w:p w14:paraId="3403D01E" w14:textId="77777777" w:rsidR="00102DF0" w:rsidRPr="007C1194" w:rsidRDefault="00102DF0" w:rsidP="00102DF0">
            <w:pPr>
              <w:rPr>
                <w:b/>
                <w:sz w:val="20"/>
                <w:szCs w:val="20"/>
              </w:rPr>
            </w:pPr>
            <w:r w:rsidRPr="007C1194">
              <w:rPr>
                <w:b/>
                <w:sz w:val="20"/>
                <w:szCs w:val="20"/>
              </w:rPr>
              <w:t>Alternative</w:t>
            </w:r>
          </w:p>
        </w:tc>
        <w:tc>
          <w:tcPr>
            <w:tcW w:w="474" w:type="pct"/>
          </w:tcPr>
          <w:p w14:paraId="1153EAFD" w14:textId="77777777" w:rsidR="00102DF0" w:rsidRPr="007C1194" w:rsidRDefault="00102DF0" w:rsidP="00102DF0">
            <w:pPr>
              <w:rPr>
                <w:b/>
                <w:sz w:val="20"/>
                <w:szCs w:val="20"/>
              </w:rPr>
            </w:pPr>
            <w:r w:rsidRPr="007C1194">
              <w:rPr>
                <w:b/>
                <w:sz w:val="20"/>
                <w:szCs w:val="20"/>
              </w:rPr>
              <w:t>Cost</w:t>
            </w:r>
          </w:p>
        </w:tc>
        <w:tc>
          <w:tcPr>
            <w:tcW w:w="1058" w:type="pct"/>
          </w:tcPr>
          <w:p w14:paraId="5B6AA873" w14:textId="77777777" w:rsidR="00102DF0" w:rsidRPr="007C1194" w:rsidRDefault="00102DF0" w:rsidP="00102DF0">
            <w:pPr>
              <w:rPr>
                <w:b/>
                <w:sz w:val="20"/>
                <w:szCs w:val="20"/>
              </w:rPr>
            </w:pPr>
            <w:proofErr w:type="spellStart"/>
            <w:r w:rsidRPr="007C1194">
              <w:rPr>
                <w:b/>
                <w:sz w:val="20"/>
                <w:szCs w:val="20"/>
              </w:rPr>
              <w:t>O&amp;M</w:t>
            </w:r>
            <w:proofErr w:type="spellEnd"/>
            <w:r w:rsidRPr="007C1194">
              <w:rPr>
                <w:b/>
                <w:sz w:val="20"/>
                <w:szCs w:val="20"/>
              </w:rPr>
              <w:t xml:space="preserve"> Benefit</w:t>
            </w:r>
          </w:p>
        </w:tc>
        <w:tc>
          <w:tcPr>
            <w:tcW w:w="1108" w:type="pct"/>
          </w:tcPr>
          <w:p w14:paraId="25CD3AFD" w14:textId="77777777" w:rsidR="00102DF0" w:rsidRPr="007C1194" w:rsidRDefault="00102DF0" w:rsidP="00102DF0">
            <w:pPr>
              <w:rPr>
                <w:b/>
                <w:sz w:val="20"/>
                <w:szCs w:val="20"/>
              </w:rPr>
            </w:pPr>
            <w:r w:rsidRPr="007C1194">
              <w:rPr>
                <w:b/>
                <w:sz w:val="20"/>
                <w:szCs w:val="20"/>
              </w:rPr>
              <w:t>Fish Benefit</w:t>
            </w:r>
          </w:p>
        </w:tc>
        <w:tc>
          <w:tcPr>
            <w:tcW w:w="1730" w:type="pct"/>
          </w:tcPr>
          <w:p w14:paraId="4D5CD560" w14:textId="77777777" w:rsidR="00102DF0" w:rsidRPr="007C1194" w:rsidRDefault="00102DF0" w:rsidP="00102DF0">
            <w:pPr>
              <w:rPr>
                <w:b/>
                <w:sz w:val="20"/>
                <w:szCs w:val="20"/>
              </w:rPr>
            </w:pPr>
            <w:r w:rsidRPr="007C1194">
              <w:rPr>
                <w:b/>
                <w:sz w:val="20"/>
                <w:szCs w:val="20"/>
              </w:rPr>
              <w:t>Detriments</w:t>
            </w:r>
          </w:p>
        </w:tc>
      </w:tr>
      <w:tr w:rsidR="00102DF0" w:rsidRPr="007C1194" w14:paraId="2D67FF5F" w14:textId="77777777" w:rsidTr="007C1194">
        <w:trPr>
          <w:cantSplit/>
          <w:jc w:val="center"/>
        </w:trPr>
        <w:tc>
          <w:tcPr>
            <w:tcW w:w="630" w:type="pct"/>
          </w:tcPr>
          <w:p w14:paraId="30670F2C" w14:textId="77777777" w:rsidR="00102DF0" w:rsidRPr="007C1194" w:rsidRDefault="00102DF0" w:rsidP="00102DF0">
            <w:pPr>
              <w:rPr>
                <w:sz w:val="20"/>
                <w:szCs w:val="20"/>
              </w:rPr>
            </w:pPr>
            <w:r w:rsidRPr="007C1194">
              <w:rPr>
                <w:sz w:val="20"/>
                <w:szCs w:val="20"/>
              </w:rPr>
              <w:t>New Single Stage</w:t>
            </w:r>
          </w:p>
        </w:tc>
        <w:tc>
          <w:tcPr>
            <w:tcW w:w="474" w:type="pct"/>
          </w:tcPr>
          <w:p w14:paraId="7CBDD755" w14:textId="77777777" w:rsidR="00102DF0" w:rsidRPr="007C1194" w:rsidRDefault="00102DF0" w:rsidP="00102DF0">
            <w:pPr>
              <w:rPr>
                <w:sz w:val="20"/>
                <w:szCs w:val="20"/>
              </w:rPr>
            </w:pPr>
            <w:r w:rsidRPr="007C1194">
              <w:rPr>
                <w:sz w:val="20"/>
                <w:szCs w:val="20"/>
              </w:rPr>
              <w:t>$11.5M</w:t>
            </w:r>
          </w:p>
        </w:tc>
        <w:tc>
          <w:tcPr>
            <w:tcW w:w="1058" w:type="pct"/>
          </w:tcPr>
          <w:p w14:paraId="19FADB9B"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47C7895F"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w:t>
            </w:r>
          </w:p>
          <w:p w14:paraId="4CEDE6F7"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Lowest leak risks due to fewest seals </w:t>
            </w:r>
          </w:p>
        </w:tc>
        <w:tc>
          <w:tcPr>
            <w:tcW w:w="1108" w:type="pct"/>
          </w:tcPr>
          <w:p w14:paraId="5DC26952"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oil leak risk</w:t>
            </w:r>
          </w:p>
          <w:p w14:paraId="064F5598"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outage risk that may lead to suboptimal passage conditions</w:t>
            </w:r>
          </w:p>
        </w:tc>
        <w:tc>
          <w:tcPr>
            <w:tcW w:w="1730" w:type="pct"/>
          </w:tcPr>
          <w:p w14:paraId="2C9363CA" w14:textId="77777777" w:rsidR="00102DF0" w:rsidRPr="007C1194" w:rsidRDefault="00102DF0" w:rsidP="00102DF0">
            <w:pPr>
              <w:numPr>
                <w:ilvl w:val="0"/>
                <w:numId w:val="33"/>
              </w:numPr>
              <w:ind w:left="162" w:hanging="180"/>
              <w:contextualSpacing/>
              <w:rPr>
                <w:sz w:val="20"/>
                <w:szCs w:val="20"/>
              </w:rPr>
            </w:pPr>
            <w:r w:rsidRPr="007C1194">
              <w:rPr>
                <w:sz w:val="20"/>
                <w:szCs w:val="20"/>
              </w:rPr>
              <w:t>Potential slight reduction in FGE compared to older studies but under current spill operations have not been repeatable</w:t>
            </w:r>
          </w:p>
        </w:tc>
      </w:tr>
      <w:tr w:rsidR="00102DF0" w:rsidRPr="007C1194" w14:paraId="693808AD" w14:textId="77777777" w:rsidTr="007C1194">
        <w:trPr>
          <w:cantSplit/>
          <w:jc w:val="center"/>
        </w:trPr>
        <w:tc>
          <w:tcPr>
            <w:tcW w:w="630" w:type="pct"/>
          </w:tcPr>
          <w:p w14:paraId="09BCA1D4" w14:textId="77777777" w:rsidR="00102DF0" w:rsidRPr="007C1194" w:rsidRDefault="00102DF0" w:rsidP="00102DF0">
            <w:pPr>
              <w:rPr>
                <w:sz w:val="20"/>
                <w:szCs w:val="20"/>
              </w:rPr>
            </w:pPr>
            <w:r w:rsidRPr="007C1194">
              <w:rPr>
                <w:sz w:val="20"/>
                <w:szCs w:val="20"/>
              </w:rPr>
              <w:t>New Telescoping</w:t>
            </w:r>
          </w:p>
        </w:tc>
        <w:tc>
          <w:tcPr>
            <w:tcW w:w="474" w:type="pct"/>
          </w:tcPr>
          <w:p w14:paraId="2498EBFA" w14:textId="77777777" w:rsidR="00102DF0" w:rsidRPr="007C1194" w:rsidRDefault="00102DF0" w:rsidP="00102DF0">
            <w:pPr>
              <w:rPr>
                <w:sz w:val="20"/>
                <w:szCs w:val="20"/>
              </w:rPr>
            </w:pPr>
            <w:r w:rsidRPr="007C1194">
              <w:rPr>
                <w:sz w:val="20"/>
                <w:szCs w:val="20"/>
              </w:rPr>
              <w:t>$18.5M</w:t>
            </w:r>
          </w:p>
        </w:tc>
        <w:tc>
          <w:tcPr>
            <w:tcW w:w="1058" w:type="pct"/>
          </w:tcPr>
          <w:p w14:paraId="19A1A4DF"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693ECAB0" w14:textId="77777777" w:rsidR="00102DF0" w:rsidRPr="007C1194" w:rsidRDefault="00102DF0" w:rsidP="00102DF0">
            <w:pPr>
              <w:rPr>
                <w:sz w:val="20"/>
                <w:szCs w:val="20"/>
              </w:rPr>
            </w:pPr>
          </w:p>
        </w:tc>
        <w:tc>
          <w:tcPr>
            <w:tcW w:w="1108" w:type="pct"/>
          </w:tcPr>
          <w:p w14:paraId="00EF94B5" w14:textId="10B99149" w:rsidR="00102DF0" w:rsidRPr="008D5997"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0228918A" w14:textId="77777777" w:rsidR="00102DF0" w:rsidRPr="007C1194" w:rsidRDefault="00102DF0" w:rsidP="00102DF0">
            <w:pPr>
              <w:numPr>
                <w:ilvl w:val="0"/>
                <w:numId w:val="33"/>
              </w:numPr>
              <w:ind w:left="162" w:hanging="180"/>
              <w:contextualSpacing/>
              <w:rPr>
                <w:sz w:val="20"/>
                <w:szCs w:val="20"/>
              </w:rPr>
            </w:pPr>
            <w:r w:rsidRPr="007C1194">
              <w:rPr>
                <w:sz w:val="20"/>
                <w:szCs w:val="20"/>
              </w:rPr>
              <w:t>Most expensive</w:t>
            </w:r>
          </w:p>
          <w:p w14:paraId="69640DEF"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3E777502"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Increased risk of unit outages with suboptimal passage conditions </w:t>
            </w:r>
          </w:p>
          <w:p w14:paraId="07D09D87"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r w:rsidR="00102DF0" w:rsidRPr="007C1194" w14:paraId="3F71ADCB" w14:textId="77777777" w:rsidTr="007C1194">
        <w:trPr>
          <w:cantSplit/>
          <w:jc w:val="center"/>
        </w:trPr>
        <w:tc>
          <w:tcPr>
            <w:tcW w:w="630" w:type="pct"/>
          </w:tcPr>
          <w:p w14:paraId="25B1BD60" w14:textId="77777777" w:rsidR="00102DF0" w:rsidRPr="007C1194" w:rsidRDefault="00102DF0" w:rsidP="00102DF0">
            <w:pPr>
              <w:rPr>
                <w:sz w:val="20"/>
                <w:szCs w:val="20"/>
              </w:rPr>
            </w:pPr>
            <w:proofErr w:type="spellStart"/>
            <w:r w:rsidRPr="007C1194">
              <w:rPr>
                <w:sz w:val="20"/>
                <w:szCs w:val="20"/>
              </w:rPr>
              <w:lastRenderedPageBreak/>
              <w:t>Refurb</w:t>
            </w:r>
            <w:proofErr w:type="spellEnd"/>
            <w:r w:rsidRPr="007C1194">
              <w:rPr>
                <w:sz w:val="20"/>
                <w:szCs w:val="20"/>
              </w:rPr>
              <w:t>. Telescoping</w:t>
            </w:r>
          </w:p>
        </w:tc>
        <w:tc>
          <w:tcPr>
            <w:tcW w:w="474" w:type="pct"/>
          </w:tcPr>
          <w:p w14:paraId="2EBACE43" w14:textId="77777777" w:rsidR="00102DF0" w:rsidRPr="007C1194" w:rsidRDefault="00102DF0" w:rsidP="00102DF0">
            <w:pPr>
              <w:rPr>
                <w:sz w:val="20"/>
                <w:szCs w:val="20"/>
              </w:rPr>
            </w:pPr>
            <w:r w:rsidRPr="007C1194">
              <w:rPr>
                <w:sz w:val="20"/>
                <w:szCs w:val="20"/>
              </w:rPr>
              <w:t>$13.5M</w:t>
            </w:r>
          </w:p>
        </w:tc>
        <w:tc>
          <w:tcPr>
            <w:tcW w:w="1058" w:type="pct"/>
          </w:tcPr>
          <w:p w14:paraId="4F87B7A1"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Least expensive that maintains </w:t>
            </w:r>
            <w:proofErr w:type="spellStart"/>
            <w:r w:rsidRPr="007C1194">
              <w:rPr>
                <w:sz w:val="20"/>
                <w:szCs w:val="20"/>
              </w:rPr>
              <w:t>ROG</w:t>
            </w:r>
            <w:proofErr w:type="spellEnd"/>
            <w:r w:rsidRPr="007C1194">
              <w:rPr>
                <w:sz w:val="20"/>
                <w:szCs w:val="20"/>
              </w:rPr>
              <w:t xml:space="preserve"> position</w:t>
            </w:r>
          </w:p>
        </w:tc>
        <w:tc>
          <w:tcPr>
            <w:tcW w:w="1108" w:type="pct"/>
          </w:tcPr>
          <w:p w14:paraId="249C8CC8"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24D1A0B6" w14:textId="77777777" w:rsidR="00102DF0" w:rsidRPr="007C1194" w:rsidRDefault="00102DF0" w:rsidP="00102DF0">
            <w:pPr>
              <w:numPr>
                <w:ilvl w:val="0"/>
                <w:numId w:val="33"/>
              </w:numPr>
              <w:ind w:left="162" w:hanging="180"/>
              <w:contextualSpacing/>
              <w:rPr>
                <w:sz w:val="20"/>
                <w:szCs w:val="20"/>
              </w:rPr>
            </w:pPr>
            <w:r w:rsidRPr="007C1194">
              <w:rPr>
                <w:sz w:val="20"/>
                <w:szCs w:val="20"/>
              </w:rPr>
              <w:t>More expensive than lowest cost</w:t>
            </w:r>
          </w:p>
          <w:p w14:paraId="190F279B"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756F35B4" w14:textId="77777777" w:rsidR="00102DF0" w:rsidRPr="007C1194" w:rsidRDefault="00102DF0" w:rsidP="00102DF0">
            <w:pPr>
              <w:numPr>
                <w:ilvl w:val="0"/>
                <w:numId w:val="33"/>
              </w:numPr>
              <w:ind w:left="162" w:hanging="180"/>
              <w:contextualSpacing/>
              <w:rPr>
                <w:sz w:val="20"/>
                <w:szCs w:val="20"/>
              </w:rPr>
            </w:pPr>
            <w:r w:rsidRPr="007C1194">
              <w:rPr>
                <w:sz w:val="20"/>
                <w:szCs w:val="20"/>
              </w:rPr>
              <w:t>Uncertainty that other parts may fail due to age</w:t>
            </w:r>
          </w:p>
          <w:p w14:paraId="466C36C6"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risk of unit outages with suboptimal passage conditions</w:t>
            </w:r>
          </w:p>
          <w:p w14:paraId="407E117D"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bl>
    <w:p w14:paraId="0725263B"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Table 1: Alternatives in the Ice Harbor Cylinder replacement project.</w:t>
      </w:r>
    </w:p>
    <w:p w14:paraId="373864F9" w14:textId="77777777" w:rsidR="00102DF0" w:rsidRPr="008D5997"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highlight w:val="yellow"/>
          <w:u w:val="single"/>
        </w:rPr>
        <w:t>Results of the study at Lower Monumental Dam and the similarities in design (both have STS Screens) between Ice Harbor and Lower Monumental Dams along with both being adjacent on the Snake River, make it reasonable to expect that changing gate position would not significantly effect FGE at Ice Harbor Dam. Plus, less flow passes through the Ice Harbor power house than Lower Monumental therefore the number of fish effected is anticipated to be less than at Lower Monumental</w:t>
      </w:r>
      <w:r w:rsidRPr="008D5997">
        <w:rPr>
          <w:rFonts w:asciiTheme="minorHAnsi" w:eastAsiaTheme="minorHAnsi" w:hAnsiTheme="minorHAnsi" w:cstheme="minorBidi"/>
          <w:sz w:val="22"/>
          <w:szCs w:val="22"/>
          <w:highlight w:val="yellow"/>
        </w:rPr>
        <w:t>.</w:t>
      </w:r>
      <w:r w:rsidRPr="008D5997">
        <w:rPr>
          <w:rFonts w:asciiTheme="minorHAnsi" w:eastAsiaTheme="minorHAnsi" w:hAnsiTheme="minorHAnsi" w:cstheme="minorBidi"/>
          <w:sz w:val="22"/>
          <w:szCs w:val="22"/>
        </w:rPr>
        <w:t xml:space="preserve"> Intake elevation differences show both intakes are close in height: Lower Monumental at 75.78 </w:t>
      </w:r>
      <w:proofErr w:type="spellStart"/>
      <w:r w:rsidRPr="008D5997">
        <w:rPr>
          <w:rFonts w:asciiTheme="minorHAnsi" w:eastAsiaTheme="minorHAnsi" w:hAnsiTheme="minorHAnsi" w:cstheme="minorBidi"/>
          <w:sz w:val="22"/>
          <w:szCs w:val="22"/>
        </w:rPr>
        <w:t>ft</w:t>
      </w:r>
      <w:proofErr w:type="spellEnd"/>
      <w:r w:rsidRPr="008D5997">
        <w:rPr>
          <w:rFonts w:asciiTheme="minorHAnsi" w:eastAsiaTheme="minorHAnsi" w:hAnsiTheme="minorHAnsi" w:cstheme="minorBidi"/>
          <w:sz w:val="22"/>
          <w:szCs w:val="22"/>
        </w:rPr>
        <w:t xml:space="preserve"> and Ice Harbor at 73.13 ft.  Ice Harbor and Lower Monumental have similar distributor elevations (19 </w:t>
      </w:r>
      <w:proofErr w:type="spellStart"/>
      <w:r w:rsidRPr="008D5997">
        <w:rPr>
          <w:rFonts w:asciiTheme="minorHAnsi" w:eastAsiaTheme="minorHAnsi" w:hAnsiTheme="minorHAnsi" w:cstheme="minorBidi"/>
          <w:sz w:val="22"/>
          <w:szCs w:val="22"/>
        </w:rPr>
        <w:t>ft</w:t>
      </w:r>
      <w:proofErr w:type="spellEnd"/>
      <w:r w:rsidRPr="008D5997">
        <w:rPr>
          <w:rFonts w:asciiTheme="minorHAnsi" w:eastAsiaTheme="minorHAnsi" w:hAnsiTheme="minorHAnsi" w:cstheme="minorBidi"/>
          <w:sz w:val="22"/>
          <w:szCs w:val="22"/>
        </w:rPr>
        <w:t xml:space="preserve"> and 19.5 </w:t>
      </w:r>
      <w:proofErr w:type="spellStart"/>
      <w:r w:rsidRPr="008D5997">
        <w:rPr>
          <w:rFonts w:asciiTheme="minorHAnsi" w:eastAsiaTheme="minorHAnsi" w:hAnsiTheme="minorHAnsi" w:cstheme="minorBidi"/>
          <w:sz w:val="22"/>
          <w:szCs w:val="22"/>
        </w:rPr>
        <w:t>ft</w:t>
      </w:r>
      <w:proofErr w:type="spellEnd"/>
      <w:r w:rsidRPr="008D5997">
        <w:rPr>
          <w:rFonts w:asciiTheme="minorHAnsi" w:eastAsiaTheme="minorHAnsi" w:hAnsiTheme="minorHAnsi" w:cstheme="minorBidi"/>
          <w:sz w:val="22"/>
          <w:szCs w:val="22"/>
        </w:rPr>
        <w:t xml:space="preserve">) from the intake floor. The operating gates at Ice Harbor and Lower Monumental are located approximately 74 </w:t>
      </w:r>
      <w:proofErr w:type="spellStart"/>
      <w:r w:rsidRPr="008D5997">
        <w:rPr>
          <w:rFonts w:asciiTheme="minorHAnsi" w:eastAsiaTheme="minorHAnsi" w:hAnsiTheme="minorHAnsi" w:cstheme="minorBidi"/>
          <w:sz w:val="22"/>
          <w:szCs w:val="22"/>
        </w:rPr>
        <w:t>ft</w:t>
      </w:r>
      <w:proofErr w:type="spellEnd"/>
      <w:r w:rsidRPr="008D5997">
        <w:rPr>
          <w:rFonts w:asciiTheme="minorHAnsi" w:eastAsiaTheme="minorHAnsi" w:hAnsiTheme="minorHAnsi" w:cstheme="minorBidi"/>
          <w:sz w:val="22"/>
          <w:szCs w:val="22"/>
        </w:rPr>
        <w:t xml:space="preserve"> and 65 </w:t>
      </w:r>
      <w:proofErr w:type="spellStart"/>
      <w:r w:rsidRPr="008D5997">
        <w:rPr>
          <w:rFonts w:asciiTheme="minorHAnsi" w:eastAsiaTheme="minorHAnsi" w:hAnsiTheme="minorHAnsi" w:cstheme="minorBidi"/>
          <w:sz w:val="22"/>
          <w:szCs w:val="22"/>
        </w:rPr>
        <w:t>ft</w:t>
      </w:r>
      <w:proofErr w:type="spellEnd"/>
      <w:r w:rsidRPr="008D5997">
        <w:rPr>
          <w:rFonts w:asciiTheme="minorHAnsi" w:eastAsiaTheme="minorHAnsi" w:hAnsiTheme="minorHAnsi" w:cstheme="minorBidi"/>
          <w:sz w:val="22"/>
          <w:szCs w:val="22"/>
        </w:rPr>
        <w:t xml:space="preserve"> from the distributor respectively.  </w:t>
      </w:r>
      <w:r w:rsidRPr="008D5997">
        <w:rPr>
          <w:rFonts w:asciiTheme="minorHAnsi" w:eastAsiaTheme="minorHAnsi" w:hAnsiTheme="minorHAnsi" w:cstheme="minorBidi"/>
          <w:sz w:val="22"/>
          <w:szCs w:val="22"/>
          <w:highlight w:val="yellow"/>
        </w:rPr>
        <w:t>The general shape and configuration of the intakes are similar with nothing so different about them that we would expect a difference in FGE. Using study data from one project to inform a decision for a similar project has been an acceptable protocol at Lower Snake and Columbia River dams.</w:t>
      </w:r>
      <w:r w:rsidRPr="008D5997">
        <w:rPr>
          <w:rFonts w:asciiTheme="minorHAnsi" w:eastAsiaTheme="minorHAnsi" w:hAnsiTheme="minorHAnsi" w:cstheme="minorBidi"/>
          <w:sz w:val="22"/>
          <w:szCs w:val="22"/>
        </w:rPr>
        <w:t xml:space="preserve"> For instance, findings at Little Goose Dam were acceptable by FPOM to apply findings to Lower Granite Dam.  Costs for a study at Ice Harbor Dam would range from $700-770k, and would be redundant. </w:t>
      </w:r>
    </w:p>
    <w:p w14:paraId="09867F8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USACE recommends replacing the telescoping cylinders with single stage cylinders. The project is scheduled to start construction in May of 2021 and complete in April of 2023.  Installation of cylinders will take place via already scheduled outages.</w:t>
      </w:r>
    </w:p>
    <w:p w14:paraId="36C670CC" w14:textId="77777777" w:rsidR="00102DF0" w:rsidRPr="0083417F" w:rsidRDefault="00102DF0" w:rsidP="007C1194">
      <w:pPr>
        <w:pBdr>
          <w:top w:val="single" w:sz="4" w:space="1" w:color="auto"/>
        </w:pBdr>
        <w:spacing w:after="160"/>
        <w:rPr>
          <w:rFonts w:asciiTheme="minorHAnsi" w:eastAsiaTheme="minorHAnsi" w:hAnsiTheme="minorHAnsi" w:cstheme="minorBidi"/>
          <w:b/>
          <w:sz w:val="22"/>
          <w:szCs w:val="22"/>
        </w:rPr>
      </w:pPr>
      <w:r w:rsidRPr="0083417F">
        <w:rPr>
          <w:rFonts w:asciiTheme="minorHAnsi" w:eastAsiaTheme="minorHAnsi" w:hAnsiTheme="minorHAnsi" w:cstheme="minorBidi"/>
          <w:b/>
          <w:sz w:val="22"/>
          <w:szCs w:val="22"/>
        </w:rPr>
        <w:t>References:</w:t>
      </w:r>
    </w:p>
    <w:p w14:paraId="75E21653"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2009a. Synthesis of Biological Research on Juvenile Fish Passage and Survival 1990-2006: Lower Granite Dam. PNWD-4059 Final, Battelle-Pacific Northwest Division, Richland, WA.</w:t>
      </w:r>
    </w:p>
    <w:p w14:paraId="7D7F74A5"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2009b. Synthesis of Biological Research on Juvenile Fish Passage and Survival 1990-2006: Lower Monumental Dam. PNWD-4061 Final, Battelle-Pacific Northwest Division, Richland, WA.</w:t>
      </w:r>
    </w:p>
    <w:p w14:paraId="1DAADFF2"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2009c. Synthesis of Biological Research on Juvenile Fish Passage and Survival 1990-2006: McNary Dam. PNWD-4035 Final, Battelle-Pacific Northwest Division, Richland, WA.</w:t>
      </w:r>
    </w:p>
    <w:p w14:paraId="3F5E0016"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CII </w:t>
      </w:r>
      <w:proofErr w:type="spellStart"/>
      <w:r w:rsidRPr="007C1194">
        <w:rPr>
          <w:rFonts w:asciiTheme="minorHAnsi" w:eastAsiaTheme="minorHAnsi" w:hAnsiTheme="minorHAnsi" w:cstheme="minorBidi"/>
          <w:sz w:val="20"/>
          <w:szCs w:val="20"/>
        </w:rPr>
        <w:t>Arimescu</w:t>
      </w:r>
      <w:proofErr w:type="spellEnd"/>
      <w:r w:rsidRPr="007C1194">
        <w:rPr>
          <w:rFonts w:asciiTheme="minorHAnsi" w:eastAsiaTheme="minorHAnsi" w:hAnsiTheme="minorHAnsi" w:cstheme="minorBidi"/>
          <w:sz w:val="20"/>
          <w:szCs w:val="20"/>
        </w:rPr>
        <w:t xml:space="preserve">, MA Simmons, JP Duncan, MA </w:t>
      </w:r>
      <w:proofErr w:type="spellStart"/>
      <w:r w:rsidRPr="007C1194">
        <w:rPr>
          <w:rFonts w:asciiTheme="minorHAnsi" w:eastAsiaTheme="minorHAnsi" w:hAnsiTheme="minorHAnsi" w:cstheme="minorBidi"/>
          <w:sz w:val="20"/>
          <w:szCs w:val="20"/>
        </w:rPr>
        <w:t>Chamness</w:t>
      </w:r>
      <w:proofErr w:type="spellEnd"/>
      <w:r w:rsidRPr="007C1194">
        <w:rPr>
          <w:rFonts w:asciiTheme="minorHAnsi" w:eastAsiaTheme="minorHAnsi" w:hAnsiTheme="minorHAnsi" w:cstheme="minorBidi"/>
          <w:sz w:val="20"/>
          <w:szCs w:val="20"/>
        </w:rPr>
        <w:t xml:space="preserve">, and AA </w:t>
      </w:r>
      <w:proofErr w:type="spellStart"/>
      <w:r w:rsidRPr="007C1194">
        <w:rPr>
          <w:rFonts w:asciiTheme="minorHAnsi" w:eastAsiaTheme="minorHAnsi" w:hAnsiTheme="minorHAnsi" w:cstheme="minorBidi"/>
          <w:sz w:val="20"/>
          <w:szCs w:val="20"/>
        </w:rPr>
        <w:t>Solcz</w:t>
      </w:r>
      <w:proofErr w:type="spellEnd"/>
      <w:r w:rsidRPr="007C1194">
        <w:rPr>
          <w:rFonts w:asciiTheme="minorHAnsi" w:eastAsiaTheme="minorHAnsi" w:hAnsiTheme="minorHAnsi" w:cstheme="minorBidi"/>
          <w:sz w:val="20"/>
          <w:szCs w:val="20"/>
        </w:rPr>
        <w:t>. 2009d. Synthesis of Biological Research on Juvenile Fish Passage and Survival 1990-2006: Ice Harbor Dam. PNWD-3976. Final, Battelle-Pacific Northwest Division, Richland, WA.</w:t>
      </w:r>
    </w:p>
    <w:p w14:paraId="1436162D"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xml:space="preserve"> and </w:t>
      </w:r>
      <w:proofErr w:type="spellStart"/>
      <w:r w:rsidRPr="007C1194">
        <w:rPr>
          <w:rFonts w:asciiTheme="minorHAnsi" w:eastAsiaTheme="minorHAnsi" w:hAnsiTheme="minorHAnsi" w:cstheme="minorBidi"/>
          <w:sz w:val="20"/>
          <w:szCs w:val="20"/>
        </w:rPr>
        <w:t>DM</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Trott</w:t>
      </w:r>
      <w:proofErr w:type="spellEnd"/>
      <w:r w:rsidRPr="007C1194">
        <w:rPr>
          <w:rFonts w:asciiTheme="minorHAnsi" w:eastAsiaTheme="minorHAnsi" w:hAnsiTheme="minorHAnsi" w:cstheme="minorBidi"/>
          <w:sz w:val="20"/>
          <w:szCs w:val="20"/>
        </w:rPr>
        <w:t xml:space="preserve">. 2013. Evaluation of the Effect of McNary Dam Operating Gate Position on Fish Guidance Efficiency. PNNL-22857, prepared for the U.S. Army Corps of Engineers, Walla Walla District, Walla Walla, Washington, by Pacific Northwest National Laboratory, Richland, Washington. </w:t>
      </w:r>
    </w:p>
    <w:p w14:paraId="79FD6914"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lastRenderedPageBreak/>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xml:space="preserve"> and RP Mueller. 2017. Evaluation of Juvenile Salmon Fish Guidance Efficiency at Little Goose Dam: The Effect of Operating Gate Position. PNNL-25829, prepared for the U.S. Army Corps of Engineers, Walla Walla District, Walla Walla, Washington, by Pacific Northwest National Laboratory, Richland, Washington.</w:t>
      </w:r>
    </w:p>
    <w:p w14:paraId="09B50EF8"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w:t>
      </w:r>
      <w:proofErr w:type="spellStart"/>
      <w:r w:rsidRPr="007C1194">
        <w:rPr>
          <w:rFonts w:asciiTheme="minorHAnsi" w:eastAsiaTheme="minorHAnsi" w:hAnsiTheme="minorHAnsi" w:cstheme="minorBidi"/>
          <w:sz w:val="20"/>
          <w:szCs w:val="20"/>
        </w:rPr>
        <w:t>KD</w:t>
      </w:r>
      <w:proofErr w:type="spellEnd"/>
      <w:r w:rsidRPr="007C1194">
        <w:rPr>
          <w:rFonts w:asciiTheme="minorHAnsi" w:eastAsiaTheme="minorHAnsi" w:hAnsiTheme="minorHAnsi" w:cstheme="minorBidi"/>
          <w:sz w:val="20"/>
          <w:szCs w:val="20"/>
        </w:rPr>
        <w:t xml:space="preserve">, and PS </w:t>
      </w:r>
      <w:proofErr w:type="spellStart"/>
      <w:r w:rsidRPr="007C1194">
        <w:rPr>
          <w:rFonts w:asciiTheme="minorHAnsi" w:eastAsiaTheme="minorHAnsi" w:hAnsiTheme="minorHAnsi" w:cstheme="minorBidi"/>
          <w:sz w:val="20"/>
          <w:szCs w:val="20"/>
        </w:rPr>
        <w:t>Titzler</w:t>
      </w:r>
      <w:proofErr w:type="spellEnd"/>
      <w:r w:rsidRPr="007C1194">
        <w:rPr>
          <w:rFonts w:asciiTheme="minorHAnsi" w:eastAsiaTheme="minorHAnsi" w:hAnsiTheme="minorHAnsi" w:cstheme="minorBidi"/>
          <w:sz w:val="20"/>
          <w:szCs w:val="20"/>
        </w:rPr>
        <w:t>. 2020. Effect of Operating Gate Position on Juvenile Salmon Fish Guidance Efficiency at Lower Monumental Dam. PNNL-29106, prepared for the U.S. Army Corps of Engineers, Walla Walla District, Walla Walla, Washington, by Pacific Northwest National Laboratory, Richland, Washington.</w:t>
      </w:r>
    </w:p>
    <w:p w14:paraId="020BE663" w14:textId="77777777" w:rsidR="00102DF0" w:rsidRPr="007C1194" w:rsidRDefault="00102DF0" w:rsidP="0028289B">
      <w:pPr>
        <w:spacing w:after="120"/>
        <w:rPr>
          <w:rFonts w:asciiTheme="minorHAnsi" w:eastAsiaTheme="minorHAnsi" w:hAnsiTheme="minorHAnsi" w:cstheme="minorBidi"/>
          <w:sz w:val="20"/>
          <w:szCs w:val="20"/>
        </w:rPr>
      </w:pPr>
      <w:proofErr w:type="spellStart"/>
      <w:r w:rsidRPr="007C1194">
        <w:rPr>
          <w:rFonts w:asciiTheme="minorHAnsi" w:eastAsiaTheme="minorHAnsi" w:hAnsiTheme="minorHAnsi" w:cstheme="minorBidi"/>
          <w:sz w:val="20"/>
          <w:szCs w:val="20"/>
        </w:rPr>
        <w:t>Krcma</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RF</w:t>
      </w:r>
      <w:proofErr w:type="spellEnd"/>
      <w:r w:rsidRPr="007C1194">
        <w:rPr>
          <w:rFonts w:asciiTheme="minorHAnsi" w:eastAsiaTheme="minorHAnsi" w:hAnsiTheme="minorHAnsi" w:cstheme="minorBidi"/>
          <w:sz w:val="20"/>
          <w:szCs w:val="20"/>
        </w:rPr>
        <w:t xml:space="preserve">, MH </w:t>
      </w:r>
      <w:proofErr w:type="spellStart"/>
      <w:r w:rsidRPr="007C1194">
        <w:rPr>
          <w:rFonts w:asciiTheme="minorHAnsi" w:eastAsiaTheme="minorHAnsi" w:hAnsiTheme="minorHAnsi" w:cstheme="minorBidi"/>
          <w:sz w:val="20"/>
          <w:szCs w:val="20"/>
        </w:rPr>
        <w:t>Gessel</w:t>
      </w:r>
      <w:proofErr w:type="spellEnd"/>
      <w:r w:rsidRPr="007C1194">
        <w:rPr>
          <w:rFonts w:asciiTheme="minorHAnsi" w:eastAsiaTheme="minorHAnsi" w:hAnsiTheme="minorHAnsi" w:cstheme="minorBidi"/>
          <w:sz w:val="20"/>
          <w:szCs w:val="20"/>
        </w:rPr>
        <w:t xml:space="preserve">, and </w:t>
      </w:r>
      <w:proofErr w:type="spellStart"/>
      <w:r w:rsidRPr="007C1194">
        <w:rPr>
          <w:rFonts w:asciiTheme="minorHAnsi" w:eastAsiaTheme="minorHAnsi" w:hAnsiTheme="minorHAnsi" w:cstheme="minorBidi"/>
          <w:sz w:val="20"/>
          <w:szCs w:val="20"/>
        </w:rPr>
        <w:t>FJ</w:t>
      </w:r>
      <w:proofErr w:type="spellEnd"/>
      <w:r w:rsidRPr="007C1194">
        <w:rPr>
          <w:rFonts w:asciiTheme="minorHAnsi" w:eastAsiaTheme="minorHAnsi" w:hAnsiTheme="minorHAnsi" w:cstheme="minorBidi"/>
          <w:sz w:val="20"/>
          <w:szCs w:val="20"/>
        </w:rPr>
        <w:t xml:space="preserve"> </w:t>
      </w:r>
      <w:proofErr w:type="spellStart"/>
      <w:r w:rsidRPr="007C1194">
        <w:rPr>
          <w:rFonts w:asciiTheme="minorHAnsi" w:eastAsiaTheme="minorHAnsi" w:hAnsiTheme="minorHAnsi" w:cstheme="minorBidi"/>
          <w:sz w:val="20"/>
          <w:szCs w:val="20"/>
        </w:rPr>
        <w:t>Ossiander</w:t>
      </w:r>
      <w:proofErr w:type="spellEnd"/>
      <w:r w:rsidRPr="007C1194">
        <w:rPr>
          <w:rFonts w:asciiTheme="minorHAnsi" w:eastAsiaTheme="minorHAnsi" w:hAnsiTheme="minorHAnsi" w:cstheme="minorBidi"/>
          <w:sz w:val="20"/>
          <w:szCs w:val="20"/>
        </w:rPr>
        <w:t>. 1983. Research at McNary Dam to Develop and Implement a Fingerling Protection System for John Day Dam, 1982. U.S. Department of Commerce, National Oceanic and Atmospheric Administration, National Marine Fisheries Service, Northwest and Alaska Fisheries Science Centers, Seattle, Washington. (Report to U.S. Army Corps of Engineers, Contract DACW57-82-F-0373).</w:t>
      </w:r>
    </w:p>
    <w:p w14:paraId="3A8432F5" w14:textId="6C924684" w:rsidR="00102DF0" w:rsidRDefault="00102DF0" w:rsidP="007C1194">
      <w:pPr>
        <w:spacing w:after="160"/>
        <w:rPr>
          <w:rFonts w:asciiTheme="minorHAnsi" w:eastAsiaTheme="minorHAnsi" w:hAnsiTheme="minorHAnsi" w:cstheme="minorBidi"/>
          <w:sz w:val="20"/>
          <w:szCs w:val="20"/>
        </w:rPr>
      </w:pPr>
      <w:proofErr w:type="spellStart"/>
      <w:r w:rsidRPr="007C1194">
        <w:rPr>
          <w:rFonts w:asciiTheme="minorHAnsi" w:eastAsiaTheme="minorHAnsi" w:hAnsiTheme="minorHAnsi" w:cstheme="minorBidi"/>
          <w:sz w:val="20"/>
          <w:szCs w:val="20"/>
        </w:rPr>
        <w:t>Ledgerwood</w:t>
      </w:r>
      <w:proofErr w:type="spellEnd"/>
      <w:r w:rsidRPr="007C1194">
        <w:rPr>
          <w:rFonts w:asciiTheme="minorHAnsi" w:eastAsiaTheme="minorHAnsi" w:hAnsiTheme="minorHAnsi" w:cstheme="minorBidi"/>
          <w:sz w:val="20"/>
          <w:szCs w:val="20"/>
        </w:rPr>
        <w:t xml:space="preserve">, RD, </w:t>
      </w:r>
      <w:proofErr w:type="spellStart"/>
      <w:r w:rsidRPr="007C1194">
        <w:rPr>
          <w:rFonts w:asciiTheme="minorHAnsi" w:eastAsiaTheme="minorHAnsi" w:hAnsiTheme="minorHAnsi" w:cstheme="minorBidi"/>
          <w:sz w:val="20"/>
          <w:szCs w:val="20"/>
        </w:rPr>
        <w:t>WT</w:t>
      </w:r>
      <w:proofErr w:type="spellEnd"/>
      <w:r w:rsidRPr="007C1194">
        <w:rPr>
          <w:rFonts w:asciiTheme="minorHAnsi" w:eastAsiaTheme="minorHAnsi" w:hAnsiTheme="minorHAnsi" w:cstheme="minorBidi"/>
          <w:sz w:val="20"/>
          <w:szCs w:val="20"/>
        </w:rPr>
        <w:t xml:space="preserve"> Norman, GA Swan, and JG Williams. 1987. Fish Guiding Efficiency of Submersible Traveling Screens at Lower Granite and Little Goose Dams1986. Annual Report to U.S. Army Corps of Engineers by National Marine Fisheries Service, 2725 </w:t>
      </w:r>
      <w:proofErr w:type="spellStart"/>
      <w:r w:rsidRPr="007C1194">
        <w:rPr>
          <w:rFonts w:asciiTheme="minorHAnsi" w:eastAsiaTheme="minorHAnsi" w:hAnsiTheme="minorHAnsi" w:cstheme="minorBidi"/>
          <w:sz w:val="20"/>
          <w:szCs w:val="20"/>
        </w:rPr>
        <w:t>Montlake</w:t>
      </w:r>
      <w:proofErr w:type="spellEnd"/>
      <w:r w:rsidRPr="007C1194">
        <w:rPr>
          <w:rFonts w:asciiTheme="minorHAnsi" w:eastAsiaTheme="minorHAnsi" w:hAnsiTheme="minorHAnsi" w:cstheme="minorBidi"/>
          <w:sz w:val="20"/>
          <w:szCs w:val="20"/>
        </w:rPr>
        <w:t xml:space="preserve"> Boulevard East, Seattle, WA 98112. Delivery Order DACW68-84-H-0034.</w:t>
      </w:r>
    </w:p>
    <w:p w14:paraId="2A56F8CA" w14:textId="77777777" w:rsidR="008D5997" w:rsidRDefault="008D5997" w:rsidP="007C1194">
      <w:pPr>
        <w:spacing w:after="160"/>
        <w:sectPr w:rsidR="008D5997" w:rsidSect="003B27D8">
          <w:headerReference w:type="default" r:id="rId12"/>
          <w:headerReference w:type="first" r:id="rId13"/>
          <w:type w:val="continuous"/>
          <w:pgSz w:w="12240" w:h="15840"/>
          <w:pgMar w:top="1440" w:right="1440" w:bottom="1440" w:left="1440" w:header="720" w:footer="720" w:gutter="0"/>
          <w:cols w:space="720"/>
          <w:docGrid w:linePitch="360"/>
        </w:sectPr>
      </w:pPr>
    </w:p>
    <w:p w14:paraId="66928F02" w14:textId="77777777" w:rsidR="008D5997" w:rsidRDefault="008D5997" w:rsidP="008D5997">
      <w:pPr>
        <w:rPr>
          <w:rFonts w:ascii="Comic Sans MS" w:hAnsi="Comic Sans MS"/>
          <w:b/>
          <w:i/>
          <w:color w:val="2E74B5" w:themeColor="accent1" w:themeShade="BF"/>
        </w:rPr>
      </w:pPr>
    </w:p>
    <w:p w14:paraId="48ADFEB7" w14:textId="77777777" w:rsidR="008D5997" w:rsidRPr="008D5997" w:rsidRDefault="008D5997" w:rsidP="008D5997">
      <w:pPr>
        <w:spacing w:after="240"/>
        <w:rPr>
          <w:rFonts w:ascii="Comic Sans MS" w:hAnsi="Comic Sans MS"/>
          <w:b/>
          <w:i/>
          <w:color w:val="2E74B5" w:themeColor="accent1" w:themeShade="BF"/>
          <w:sz w:val="22"/>
          <w:szCs w:val="22"/>
        </w:rPr>
      </w:pPr>
      <w:r w:rsidRPr="008D5997">
        <w:rPr>
          <w:rFonts w:ascii="Comic Sans MS" w:hAnsi="Comic Sans MS"/>
          <w:b/>
          <w:i/>
          <w:color w:val="2E74B5" w:themeColor="accent1" w:themeShade="BF"/>
          <w:sz w:val="22"/>
          <w:szCs w:val="22"/>
        </w:rPr>
        <w:t xml:space="preserve">Cfm Review Summary:  The data presented in the </w:t>
      </w:r>
      <w:proofErr w:type="spellStart"/>
      <w:r w:rsidRPr="008D5997">
        <w:rPr>
          <w:rFonts w:ascii="Comic Sans MS" w:hAnsi="Comic Sans MS"/>
          <w:b/>
          <w:i/>
          <w:color w:val="2E74B5" w:themeColor="accent1" w:themeShade="BF"/>
          <w:sz w:val="22"/>
          <w:szCs w:val="22"/>
        </w:rPr>
        <w:t>PNNL</w:t>
      </w:r>
      <w:proofErr w:type="spellEnd"/>
      <w:r w:rsidRPr="008D5997">
        <w:rPr>
          <w:rFonts w:ascii="Comic Sans MS" w:hAnsi="Comic Sans MS"/>
          <w:b/>
          <w:i/>
          <w:color w:val="2E74B5" w:themeColor="accent1" w:themeShade="BF"/>
          <w:sz w:val="22"/>
          <w:szCs w:val="22"/>
        </w:rPr>
        <w:t xml:space="preserve"> report show that the </w:t>
      </w:r>
      <w:proofErr w:type="spellStart"/>
      <w:r w:rsidRPr="008D5997">
        <w:rPr>
          <w:rFonts w:ascii="Comic Sans MS" w:hAnsi="Comic Sans MS"/>
          <w:b/>
          <w:i/>
          <w:color w:val="2E74B5" w:themeColor="accent1" w:themeShade="BF"/>
          <w:sz w:val="22"/>
          <w:szCs w:val="22"/>
        </w:rPr>
        <w:t>ROG</w:t>
      </w:r>
      <w:proofErr w:type="spellEnd"/>
      <w:r w:rsidRPr="008D5997">
        <w:rPr>
          <w:rFonts w:ascii="Comic Sans MS" w:hAnsi="Comic Sans MS"/>
          <w:b/>
          <w:i/>
          <w:color w:val="2E74B5" w:themeColor="accent1" w:themeShade="BF"/>
          <w:sz w:val="22"/>
          <w:szCs w:val="22"/>
        </w:rPr>
        <w:t xml:space="preserve"> gate condition was overall more beneficial, by 0.8% in the tests conducted at Lower Monumental Dam for spring migrants.  This change, even though small, would, based on the test results, have a negative impact on spring migrant survival at Lower Monumental Dam.   The authors conclude that based on computed dam survivals with the operating gates in the stored position would be small and note that they would not always be positive, even though with the change survivals would be expected to still meet BiOp dam survival targets.  </w:t>
      </w:r>
    </w:p>
    <w:p w14:paraId="561198B8" w14:textId="77777777" w:rsidR="008D5997" w:rsidRPr="008D5997" w:rsidRDefault="008D5997" w:rsidP="008D5997">
      <w:pPr>
        <w:rPr>
          <w:rFonts w:ascii="Comic Sans MS" w:hAnsi="Comic Sans MS"/>
          <w:b/>
          <w:i/>
          <w:color w:val="2E74B5" w:themeColor="accent1" w:themeShade="BF"/>
          <w:sz w:val="22"/>
          <w:szCs w:val="22"/>
        </w:rPr>
      </w:pPr>
      <w:r w:rsidRPr="008D5997">
        <w:rPr>
          <w:rFonts w:ascii="Comic Sans MS" w:hAnsi="Comic Sans MS"/>
          <w:b/>
          <w:i/>
          <w:color w:val="2E74B5" w:themeColor="accent1" w:themeShade="BF"/>
          <w:sz w:val="22"/>
          <w:szCs w:val="22"/>
        </w:rPr>
        <w:t xml:space="preserve">WDFW does not agree with the extension of study results and assumptions to Ice Harbor and or the other Snake R projects without acknowledging a potential negative impact to the survival of spring migrants.  Nor do we agree with the </w:t>
      </w:r>
      <w:proofErr w:type="spellStart"/>
      <w:r w:rsidRPr="008D5997">
        <w:rPr>
          <w:rFonts w:ascii="Comic Sans MS" w:hAnsi="Comic Sans MS"/>
          <w:b/>
          <w:i/>
          <w:color w:val="2E74B5" w:themeColor="accent1" w:themeShade="BF"/>
          <w:sz w:val="22"/>
          <w:szCs w:val="22"/>
        </w:rPr>
        <w:t>COE’s</w:t>
      </w:r>
      <w:proofErr w:type="spellEnd"/>
      <w:r w:rsidRPr="008D5997">
        <w:rPr>
          <w:rFonts w:ascii="Comic Sans MS" w:hAnsi="Comic Sans MS"/>
          <w:b/>
          <w:i/>
          <w:color w:val="2E74B5" w:themeColor="accent1" w:themeShade="BF"/>
          <w:sz w:val="22"/>
          <w:szCs w:val="22"/>
        </w:rPr>
        <w:t xml:space="preserve"> White paper for the same reason.  </w:t>
      </w:r>
    </w:p>
    <w:p w14:paraId="522AAEBA" w14:textId="77777777" w:rsidR="008D5997" w:rsidRDefault="008D5997" w:rsidP="008D5997">
      <w:pPr>
        <w:rPr>
          <w:b/>
          <w:i/>
          <w:u w:val="single"/>
        </w:rPr>
      </w:pPr>
    </w:p>
    <w:p w14:paraId="7C1CB217" w14:textId="77777777" w:rsidR="008D5997" w:rsidRPr="0028289B" w:rsidRDefault="008D5997" w:rsidP="008D5997">
      <w:pPr>
        <w:rPr>
          <w:rFonts w:asciiTheme="minorHAnsi" w:hAnsiTheme="minorHAnsi" w:cstheme="minorHAnsi"/>
          <w:b/>
          <w:i/>
          <w:sz w:val="22"/>
          <w:szCs w:val="22"/>
          <w:u w:val="single"/>
        </w:rPr>
      </w:pPr>
      <w:r w:rsidRPr="0028289B">
        <w:rPr>
          <w:rFonts w:asciiTheme="minorHAnsi" w:hAnsiTheme="minorHAnsi" w:cstheme="minorHAnsi"/>
          <w:b/>
          <w:i/>
          <w:sz w:val="22"/>
          <w:szCs w:val="22"/>
          <w:u w:val="single"/>
        </w:rPr>
        <w:t xml:space="preserve">For clarity:   </w:t>
      </w:r>
    </w:p>
    <w:p w14:paraId="4A7E04B0" w14:textId="77777777" w:rsidR="008D5997" w:rsidRPr="0028289B" w:rsidRDefault="008D5997" w:rsidP="008D5997">
      <w:pPr>
        <w:rPr>
          <w:rFonts w:asciiTheme="minorHAnsi" w:hAnsiTheme="minorHAnsi" w:cstheme="minorHAnsi"/>
          <w:sz w:val="22"/>
          <w:szCs w:val="22"/>
          <w:u w:val="single"/>
        </w:rPr>
      </w:pPr>
    </w:p>
    <w:p w14:paraId="73E92818" w14:textId="77777777" w:rsidR="008D5997" w:rsidRPr="0028289B" w:rsidRDefault="008D5997" w:rsidP="008D5997">
      <w:pPr>
        <w:rPr>
          <w:rFonts w:asciiTheme="minorHAnsi" w:hAnsiTheme="minorHAnsi" w:cstheme="minorHAnsi"/>
          <w:sz w:val="22"/>
          <w:szCs w:val="22"/>
        </w:rPr>
      </w:pPr>
      <w:r w:rsidRPr="0028289B">
        <w:rPr>
          <w:rFonts w:asciiTheme="minorHAnsi" w:hAnsiTheme="minorHAnsi" w:cstheme="minorHAnsi"/>
          <w:sz w:val="22"/>
          <w:szCs w:val="22"/>
          <w:u w:val="single"/>
        </w:rPr>
        <w:t>Black text</w:t>
      </w:r>
      <w:r w:rsidRPr="0028289B">
        <w:rPr>
          <w:rFonts w:asciiTheme="minorHAnsi" w:hAnsiTheme="minorHAnsi" w:cstheme="minorHAnsi"/>
          <w:sz w:val="22"/>
          <w:szCs w:val="22"/>
        </w:rPr>
        <w:t xml:space="preserve">:  excerpts from </w:t>
      </w:r>
      <w:proofErr w:type="spellStart"/>
      <w:r w:rsidRPr="0028289B">
        <w:rPr>
          <w:rFonts w:asciiTheme="minorHAnsi" w:hAnsiTheme="minorHAnsi" w:cstheme="minorHAnsi"/>
          <w:sz w:val="22"/>
          <w:szCs w:val="22"/>
        </w:rPr>
        <w:t>PNNL</w:t>
      </w:r>
      <w:proofErr w:type="spellEnd"/>
      <w:r w:rsidRPr="0028289B">
        <w:rPr>
          <w:rFonts w:asciiTheme="minorHAnsi" w:hAnsiTheme="minorHAnsi" w:cstheme="minorHAnsi"/>
          <w:sz w:val="22"/>
          <w:szCs w:val="22"/>
        </w:rPr>
        <w:t xml:space="preserve"> final report 29106 ‘Effect of Operating Gate Position on Juvenile Salmon Fish Guidance Efficiency at Lower Monumental Dam’.</w:t>
      </w:r>
    </w:p>
    <w:p w14:paraId="5F86BC16" w14:textId="77777777" w:rsidR="008D5997" w:rsidRPr="0028289B" w:rsidRDefault="008D5997" w:rsidP="008D5997">
      <w:pPr>
        <w:rPr>
          <w:rFonts w:asciiTheme="minorHAnsi" w:hAnsiTheme="minorHAnsi" w:cstheme="minorHAnsi"/>
          <w:b/>
          <w:i/>
          <w:color w:val="2E74B5" w:themeColor="accent1" w:themeShade="BF"/>
          <w:sz w:val="22"/>
          <w:szCs w:val="22"/>
          <w:u w:val="single"/>
        </w:rPr>
      </w:pPr>
    </w:p>
    <w:p w14:paraId="52B417C7" w14:textId="77777777" w:rsidR="008D5997" w:rsidRPr="0028289B" w:rsidRDefault="008D5997" w:rsidP="008D5997">
      <w:pPr>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u w:val="single"/>
        </w:rPr>
        <w:t>Blue text:</w:t>
      </w:r>
      <w:r w:rsidRPr="0028289B">
        <w:rPr>
          <w:rFonts w:asciiTheme="minorHAnsi" w:hAnsiTheme="minorHAnsi" w:cstheme="minorHAnsi"/>
          <w:b/>
          <w:i/>
          <w:color w:val="2E74B5" w:themeColor="accent1" w:themeShade="BF"/>
          <w:sz w:val="22"/>
          <w:szCs w:val="22"/>
        </w:rPr>
        <w:t xml:space="preserve">  </w:t>
      </w:r>
      <w:proofErr w:type="spellStart"/>
      <w:r w:rsidRPr="0028289B">
        <w:rPr>
          <w:rFonts w:asciiTheme="minorHAnsi" w:hAnsiTheme="minorHAnsi" w:cstheme="minorHAnsi"/>
          <w:b/>
          <w:i/>
          <w:color w:val="2E74B5" w:themeColor="accent1" w:themeShade="BF"/>
          <w:sz w:val="22"/>
          <w:szCs w:val="22"/>
        </w:rPr>
        <w:t>Cfm_WDFW</w:t>
      </w:r>
      <w:proofErr w:type="spellEnd"/>
      <w:r w:rsidRPr="0028289B">
        <w:rPr>
          <w:rFonts w:asciiTheme="minorHAnsi" w:hAnsiTheme="minorHAnsi" w:cstheme="minorHAnsi"/>
          <w:b/>
          <w:i/>
          <w:color w:val="2E74B5" w:themeColor="accent1" w:themeShade="BF"/>
          <w:sz w:val="22"/>
          <w:szCs w:val="22"/>
        </w:rPr>
        <w:t xml:space="preserve"> comments and concerns </w:t>
      </w:r>
    </w:p>
    <w:p w14:paraId="4EEA8443" w14:textId="77777777" w:rsidR="008D5997" w:rsidRPr="0028289B" w:rsidRDefault="008D5997" w:rsidP="008D5997">
      <w:pPr>
        <w:rPr>
          <w:rFonts w:asciiTheme="minorHAnsi" w:hAnsiTheme="minorHAnsi" w:cstheme="minorHAnsi"/>
          <w:sz w:val="22"/>
          <w:szCs w:val="22"/>
          <w:u w:val="single"/>
        </w:rPr>
      </w:pPr>
    </w:p>
    <w:p w14:paraId="62011F42" w14:textId="77777777" w:rsidR="008D5997" w:rsidRPr="0028289B" w:rsidRDefault="008D5997" w:rsidP="008D5997">
      <w:pPr>
        <w:rPr>
          <w:rFonts w:asciiTheme="minorHAnsi" w:hAnsiTheme="minorHAnsi" w:cstheme="minorHAnsi"/>
          <w:sz w:val="22"/>
          <w:szCs w:val="22"/>
        </w:rPr>
      </w:pPr>
      <w:r w:rsidRPr="0028289B">
        <w:rPr>
          <w:rFonts w:asciiTheme="minorHAnsi" w:hAnsiTheme="minorHAnsi" w:cstheme="minorHAnsi"/>
          <w:sz w:val="22"/>
          <w:szCs w:val="22"/>
          <w:u w:val="single"/>
        </w:rPr>
        <w:t>Underlines and highlights</w:t>
      </w:r>
      <w:r w:rsidRPr="0028289B">
        <w:rPr>
          <w:rFonts w:asciiTheme="minorHAnsi" w:hAnsiTheme="minorHAnsi" w:cstheme="minorHAnsi"/>
          <w:sz w:val="22"/>
          <w:szCs w:val="22"/>
        </w:rPr>
        <w:t xml:space="preserve"> Cfm emphasis</w:t>
      </w:r>
    </w:p>
    <w:p w14:paraId="60190B61" w14:textId="77777777" w:rsidR="008D5997" w:rsidRPr="0028289B" w:rsidRDefault="008D5997" w:rsidP="008D5997">
      <w:pPr>
        <w:rPr>
          <w:sz w:val="22"/>
          <w:szCs w:val="22"/>
        </w:rPr>
      </w:pPr>
    </w:p>
    <w:p w14:paraId="7086EF36" w14:textId="77777777" w:rsidR="008D5997" w:rsidRDefault="008D5997" w:rsidP="008D5997"/>
    <w:p w14:paraId="3BD6715D" w14:textId="77777777" w:rsidR="008D5997" w:rsidRPr="0028289B" w:rsidRDefault="008D5997" w:rsidP="008D5997">
      <w:pPr>
        <w:rPr>
          <w:rFonts w:asciiTheme="minorHAnsi" w:hAnsiTheme="minorHAnsi" w:cstheme="minorHAnsi"/>
          <w:sz w:val="22"/>
          <w:szCs w:val="22"/>
        </w:rPr>
      </w:pPr>
      <w:proofErr w:type="spellStart"/>
      <w:r w:rsidRPr="0028289B">
        <w:rPr>
          <w:rFonts w:asciiTheme="minorHAnsi" w:hAnsiTheme="minorHAnsi" w:cstheme="minorHAnsi"/>
          <w:sz w:val="22"/>
          <w:szCs w:val="22"/>
        </w:rPr>
        <w:t>PNNL</w:t>
      </w:r>
      <w:proofErr w:type="spellEnd"/>
      <w:r w:rsidRPr="0028289B">
        <w:rPr>
          <w:rFonts w:asciiTheme="minorHAnsi" w:hAnsiTheme="minorHAnsi" w:cstheme="minorHAnsi"/>
          <w:sz w:val="22"/>
          <w:szCs w:val="22"/>
        </w:rPr>
        <w:t xml:space="preserve"> Summary </w:t>
      </w:r>
    </w:p>
    <w:p w14:paraId="15E0EA3D" w14:textId="77777777" w:rsidR="008D5997" w:rsidRPr="0028289B" w:rsidRDefault="008D5997" w:rsidP="008D5997">
      <w:pPr>
        <w:rPr>
          <w:rFonts w:asciiTheme="minorHAnsi" w:hAnsiTheme="minorHAnsi" w:cstheme="minorHAnsi"/>
          <w:sz w:val="22"/>
          <w:szCs w:val="22"/>
        </w:rPr>
      </w:pPr>
    </w:p>
    <w:p w14:paraId="2CC7D08E"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 xml:space="preserve">For the spring study period, main-effects analysis of variance (ANOVA) on FGE found unit location, but not gate position, to be a significant factor explaining variation in FGE. While the difference was not statistically significant, </w:t>
      </w:r>
      <w:r w:rsidRPr="0028289B">
        <w:rPr>
          <w:rFonts w:asciiTheme="minorHAnsi" w:hAnsiTheme="minorHAnsi" w:cstheme="minorHAnsi"/>
          <w:b/>
          <w:i/>
          <w:sz w:val="22"/>
          <w:szCs w:val="22"/>
          <w:u w:val="single"/>
        </w:rPr>
        <w:t>estimated FGE for the raised operating gate (</w:t>
      </w:r>
      <w:proofErr w:type="spellStart"/>
      <w:r w:rsidRPr="0028289B">
        <w:rPr>
          <w:rFonts w:asciiTheme="minorHAnsi" w:hAnsiTheme="minorHAnsi" w:cstheme="minorHAnsi"/>
          <w:b/>
          <w:i/>
          <w:sz w:val="22"/>
          <w:szCs w:val="22"/>
          <w:u w:val="single"/>
        </w:rPr>
        <w:t>ROG</w:t>
      </w:r>
      <w:proofErr w:type="spellEnd"/>
      <w:r w:rsidRPr="0028289B">
        <w:rPr>
          <w:rFonts w:asciiTheme="minorHAnsi" w:hAnsiTheme="minorHAnsi" w:cstheme="minorHAnsi"/>
          <w:b/>
          <w:i/>
          <w:sz w:val="22"/>
          <w:szCs w:val="22"/>
          <w:u w:val="single"/>
        </w:rPr>
        <w:t>) treatment was slightly higher (82.6% vs. 81.8%) than for the stored operating gate (</w:t>
      </w:r>
      <w:proofErr w:type="spellStart"/>
      <w:r w:rsidRPr="0028289B">
        <w:rPr>
          <w:rFonts w:asciiTheme="minorHAnsi" w:hAnsiTheme="minorHAnsi" w:cstheme="minorHAnsi"/>
          <w:b/>
          <w:i/>
          <w:sz w:val="22"/>
          <w:szCs w:val="22"/>
          <w:u w:val="single"/>
        </w:rPr>
        <w:t>SOG</w:t>
      </w:r>
      <w:proofErr w:type="spellEnd"/>
      <w:r w:rsidRPr="0028289B">
        <w:rPr>
          <w:rFonts w:asciiTheme="minorHAnsi" w:hAnsiTheme="minorHAnsi" w:cstheme="minorHAnsi"/>
          <w:b/>
          <w:i/>
          <w:sz w:val="22"/>
          <w:szCs w:val="22"/>
          <w:u w:val="single"/>
        </w:rPr>
        <w:t>) treatment</w:t>
      </w:r>
      <w:r w:rsidRPr="0028289B">
        <w:rPr>
          <w:rFonts w:asciiTheme="minorHAnsi" w:hAnsiTheme="minorHAnsi" w:cstheme="minorHAnsi"/>
          <w:sz w:val="22"/>
          <w:szCs w:val="22"/>
        </w:rPr>
        <w:t>.</w:t>
      </w:r>
    </w:p>
    <w:p w14:paraId="0898B447" w14:textId="77777777" w:rsidR="008D5997" w:rsidRPr="0028289B" w:rsidRDefault="008D5997" w:rsidP="0028289B">
      <w:pPr>
        <w:spacing w:after="240"/>
        <w:rPr>
          <w:rFonts w:asciiTheme="minorHAnsi" w:hAnsiTheme="minorHAnsi" w:cstheme="minorHAnsi"/>
          <w:b/>
          <w:i/>
          <w:sz w:val="22"/>
          <w:szCs w:val="22"/>
        </w:rPr>
      </w:pPr>
      <w:r w:rsidRPr="0028289B">
        <w:rPr>
          <w:rFonts w:asciiTheme="minorHAnsi" w:hAnsiTheme="minorHAnsi" w:cstheme="minorHAnsi"/>
          <w:i/>
          <w:sz w:val="22"/>
          <w:szCs w:val="22"/>
          <w:u w:val="single"/>
        </w:rPr>
        <w:t>By combining the estimated differences in FGE</w:t>
      </w:r>
      <w:r w:rsidRPr="0028289B">
        <w:rPr>
          <w:rFonts w:asciiTheme="minorHAnsi" w:hAnsiTheme="minorHAnsi" w:cstheme="minorHAnsi"/>
          <w:sz w:val="22"/>
          <w:szCs w:val="22"/>
        </w:rPr>
        <w:t xml:space="preserve"> with survival rates and passage proportions estimated during previous telemetry studies of passage and survival at Lower Monumental Dam, the </w:t>
      </w:r>
      <w:r w:rsidRPr="0028289B">
        <w:rPr>
          <w:rFonts w:asciiTheme="minorHAnsi" w:hAnsiTheme="minorHAnsi" w:cstheme="minorHAnsi"/>
          <w:b/>
          <w:i/>
          <w:sz w:val="22"/>
          <w:szCs w:val="22"/>
          <w:u w:val="single"/>
        </w:rPr>
        <w:t>potential change in dam-wide survival was estimated for hypothetical stored-gate scenarios</w:t>
      </w:r>
      <w:r w:rsidRPr="0028289B">
        <w:rPr>
          <w:rFonts w:asciiTheme="minorHAnsi" w:hAnsiTheme="minorHAnsi" w:cstheme="minorHAnsi"/>
          <w:i/>
          <w:sz w:val="22"/>
          <w:szCs w:val="22"/>
          <w:u w:val="single"/>
        </w:rPr>
        <w:t>.</w:t>
      </w:r>
      <w:r w:rsidRPr="0028289B">
        <w:rPr>
          <w:rFonts w:asciiTheme="minorHAnsi" w:hAnsiTheme="minorHAnsi" w:cstheme="minorHAnsi"/>
          <w:sz w:val="22"/>
          <w:szCs w:val="22"/>
        </w:rPr>
        <w:t xml:space="preserve"> The differences in FGE found during the current study were used to adjust passage proportions from earlier telemetry studies in which operating gates were in the raised position. </w:t>
      </w:r>
      <w:r w:rsidRPr="0028289B">
        <w:rPr>
          <w:rFonts w:asciiTheme="minorHAnsi" w:hAnsiTheme="minorHAnsi" w:cstheme="minorHAnsi"/>
          <w:i/>
          <w:sz w:val="22"/>
          <w:szCs w:val="22"/>
          <w:u w:val="single"/>
        </w:rPr>
        <w:t>Dam-wide survivals for yearling Chinook salmon, steelhead, and subyearling Chinook salmon differed</w:t>
      </w:r>
      <w:r w:rsidRPr="0028289B">
        <w:rPr>
          <w:rFonts w:asciiTheme="minorHAnsi" w:hAnsiTheme="minorHAnsi" w:cstheme="minorHAnsi"/>
          <w:sz w:val="22"/>
          <w:szCs w:val="22"/>
        </w:rPr>
        <w:t xml:space="preserve"> </w:t>
      </w:r>
      <w:r w:rsidRPr="0028289B">
        <w:rPr>
          <w:rFonts w:asciiTheme="minorHAnsi" w:hAnsiTheme="minorHAnsi" w:cstheme="minorHAnsi"/>
          <w:i/>
          <w:sz w:val="22"/>
          <w:szCs w:val="22"/>
          <w:u w:val="single"/>
        </w:rPr>
        <w:t>by less than one-tenth of a percent between raised and stored operating gate scenarios</w:t>
      </w:r>
      <w:r w:rsidRPr="0028289B">
        <w:rPr>
          <w:rFonts w:asciiTheme="minorHAnsi" w:hAnsiTheme="minorHAnsi" w:cstheme="minorHAnsi"/>
          <w:sz w:val="22"/>
          <w:szCs w:val="22"/>
        </w:rPr>
        <w:t xml:space="preserve">. </w:t>
      </w:r>
      <w:r w:rsidRPr="0028289B">
        <w:rPr>
          <w:rFonts w:asciiTheme="minorHAnsi" w:hAnsiTheme="minorHAnsi" w:cstheme="minorHAnsi"/>
          <w:b/>
          <w:i/>
          <w:sz w:val="22"/>
          <w:szCs w:val="22"/>
        </w:rPr>
        <w:t xml:space="preserve">This finding </w:t>
      </w:r>
      <w:r w:rsidRPr="0028289B">
        <w:rPr>
          <w:rFonts w:asciiTheme="minorHAnsi" w:hAnsiTheme="minorHAnsi" w:cstheme="minorHAnsi"/>
          <w:b/>
          <w:i/>
          <w:sz w:val="22"/>
          <w:szCs w:val="22"/>
          <w:highlight w:val="yellow"/>
          <w:u w:val="single"/>
        </w:rPr>
        <w:t>suggests</w:t>
      </w:r>
      <w:r w:rsidRPr="0028289B">
        <w:rPr>
          <w:rFonts w:asciiTheme="minorHAnsi" w:hAnsiTheme="minorHAnsi" w:cstheme="minorHAnsi"/>
          <w:b/>
          <w:i/>
          <w:sz w:val="22"/>
          <w:szCs w:val="22"/>
          <w:u w:val="single"/>
        </w:rPr>
        <w:t xml:space="preserve"> </w:t>
      </w:r>
      <w:r w:rsidRPr="0028289B">
        <w:rPr>
          <w:rFonts w:asciiTheme="minorHAnsi" w:hAnsiTheme="minorHAnsi" w:cstheme="minorHAnsi"/>
          <w:b/>
          <w:i/>
          <w:sz w:val="22"/>
          <w:szCs w:val="22"/>
        </w:rPr>
        <w:t xml:space="preserve">that raised gates have little effect on dam survival for downstream juvenile migrants at Lower Monumental Dam. </w:t>
      </w:r>
    </w:p>
    <w:p w14:paraId="6548AF5A" w14:textId="77777777" w:rsidR="008D5997" w:rsidRPr="0028289B" w:rsidRDefault="008D5997" w:rsidP="0028289B">
      <w:pPr>
        <w:spacing w:after="240"/>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rPr>
        <w:t xml:space="preserve">Cfm Note:  </w:t>
      </w:r>
      <w:r w:rsidRPr="0028289B">
        <w:rPr>
          <w:rFonts w:asciiTheme="minorHAnsi" w:hAnsiTheme="minorHAnsi" w:cstheme="minorHAnsi"/>
          <w:b/>
          <w:i/>
          <w:color w:val="2E74B5" w:themeColor="accent1" w:themeShade="BF"/>
          <w:sz w:val="22"/>
          <w:szCs w:val="22"/>
          <w:u w:val="single"/>
        </w:rPr>
        <w:t>This sentence directly contradicts the sentence in the previous paragraph that states:  “While the difference was not statistically significant, estimated FGE for the raised operating gate (</w:t>
      </w:r>
      <w:proofErr w:type="spellStart"/>
      <w:r w:rsidRPr="0028289B">
        <w:rPr>
          <w:rFonts w:asciiTheme="minorHAnsi" w:hAnsiTheme="minorHAnsi" w:cstheme="minorHAnsi"/>
          <w:b/>
          <w:i/>
          <w:color w:val="2E74B5" w:themeColor="accent1" w:themeShade="BF"/>
          <w:sz w:val="22"/>
          <w:szCs w:val="22"/>
          <w:u w:val="single"/>
        </w:rPr>
        <w:t>ROG</w:t>
      </w:r>
      <w:proofErr w:type="spellEnd"/>
      <w:r w:rsidRPr="0028289B">
        <w:rPr>
          <w:rFonts w:asciiTheme="minorHAnsi" w:hAnsiTheme="minorHAnsi" w:cstheme="minorHAnsi"/>
          <w:b/>
          <w:i/>
          <w:color w:val="2E74B5" w:themeColor="accent1" w:themeShade="BF"/>
          <w:sz w:val="22"/>
          <w:szCs w:val="22"/>
          <w:u w:val="single"/>
        </w:rPr>
        <w:t>) treatment was slightly higher (82.6% vs. 81.8%) than for the stored operating gate (</w:t>
      </w:r>
      <w:proofErr w:type="spellStart"/>
      <w:r w:rsidRPr="0028289B">
        <w:rPr>
          <w:rFonts w:asciiTheme="minorHAnsi" w:hAnsiTheme="minorHAnsi" w:cstheme="minorHAnsi"/>
          <w:b/>
          <w:i/>
          <w:color w:val="2E74B5" w:themeColor="accent1" w:themeShade="BF"/>
          <w:sz w:val="22"/>
          <w:szCs w:val="22"/>
          <w:u w:val="single"/>
        </w:rPr>
        <w:t>SOG</w:t>
      </w:r>
      <w:proofErr w:type="spellEnd"/>
      <w:r w:rsidRPr="0028289B">
        <w:rPr>
          <w:rFonts w:asciiTheme="minorHAnsi" w:hAnsiTheme="minorHAnsi" w:cstheme="minorHAnsi"/>
          <w:b/>
          <w:i/>
          <w:color w:val="2E74B5" w:themeColor="accent1" w:themeShade="BF"/>
          <w:sz w:val="22"/>
          <w:szCs w:val="22"/>
          <w:u w:val="single"/>
        </w:rPr>
        <w:t xml:space="preserve">) </w:t>
      </w:r>
      <w:proofErr w:type="spellStart"/>
      <w:r w:rsidRPr="0028289B">
        <w:rPr>
          <w:rFonts w:asciiTheme="minorHAnsi" w:hAnsiTheme="minorHAnsi" w:cstheme="minorHAnsi"/>
          <w:b/>
          <w:i/>
          <w:color w:val="2E74B5" w:themeColor="accent1" w:themeShade="BF"/>
          <w:sz w:val="22"/>
          <w:szCs w:val="22"/>
          <w:u w:val="single"/>
        </w:rPr>
        <w:t>tret</w:t>
      </w:r>
      <w:proofErr w:type="spellEnd"/>
      <w:r w:rsidRPr="0028289B">
        <w:rPr>
          <w:rFonts w:asciiTheme="minorHAnsi" w:hAnsiTheme="minorHAnsi" w:cstheme="minorHAnsi"/>
          <w:b/>
          <w:i/>
          <w:color w:val="2E74B5" w:themeColor="accent1" w:themeShade="BF"/>
          <w:sz w:val="22"/>
          <w:szCs w:val="22"/>
          <w:u w:val="single"/>
        </w:rPr>
        <w:t>.”</w:t>
      </w:r>
    </w:p>
    <w:p w14:paraId="307C0C4D" w14:textId="77777777" w:rsidR="008D5997" w:rsidRDefault="008D5997" w:rsidP="008D5997">
      <w:pPr>
        <w:rPr>
          <w:b/>
          <w:i/>
          <w:color w:val="2E74B5" w:themeColor="accent1" w:themeShade="BF"/>
          <w:u w:val="single"/>
        </w:rPr>
      </w:pPr>
    </w:p>
    <w:p w14:paraId="21F0C270" w14:textId="77777777" w:rsidR="008D5997" w:rsidRDefault="008D5997" w:rsidP="008D5997">
      <w:pPr>
        <w:rPr>
          <w:b/>
          <w:i/>
          <w:color w:val="2E74B5" w:themeColor="accent1" w:themeShade="BF"/>
          <w:u w:val="single"/>
        </w:rPr>
      </w:pPr>
    </w:p>
    <w:p w14:paraId="2C5FFBB6" w14:textId="77777777" w:rsidR="008D5997" w:rsidRPr="0028289B" w:rsidRDefault="008D5997" w:rsidP="008D5997">
      <w:pPr>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u w:val="single"/>
        </w:rPr>
        <w:t xml:space="preserve">For spring migrants, although not ‘statistically significant’, more (.8 %)  juvenile spring migrants would pass through the turbines at Lower Monumental Dam and their survival would be less than those guided away from the turbines.  </w:t>
      </w:r>
    </w:p>
    <w:p w14:paraId="7948315B" w14:textId="77777777" w:rsidR="008D5997" w:rsidRDefault="008D5997" w:rsidP="008D5997">
      <w:pPr>
        <w:rPr>
          <w:b/>
          <w:i/>
          <w:color w:val="2E74B5" w:themeColor="accent1" w:themeShade="BF"/>
          <w:u w:val="single"/>
        </w:rPr>
      </w:pPr>
    </w:p>
    <w:p w14:paraId="619A71C2" w14:textId="77777777" w:rsidR="008D5997" w:rsidRPr="0028289B" w:rsidRDefault="008D5997" w:rsidP="0028289B">
      <w:pPr>
        <w:spacing w:after="240"/>
        <w:rPr>
          <w:rFonts w:asciiTheme="minorHAnsi" w:hAnsiTheme="minorHAnsi" w:cstheme="minorHAnsi"/>
          <w:b/>
          <w:i/>
          <w:sz w:val="22"/>
          <w:szCs w:val="22"/>
          <w:u w:val="single"/>
        </w:rPr>
      </w:pPr>
      <w:r w:rsidRPr="0028289B">
        <w:rPr>
          <w:rFonts w:asciiTheme="minorHAnsi" w:hAnsiTheme="minorHAnsi" w:cstheme="minorHAnsi"/>
          <w:b/>
          <w:i/>
          <w:sz w:val="22"/>
          <w:szCs w:val="22"/>
          <w:u w:val="single"/>
        </w:rPr>
        <w:t>3.0 Results</w:t>
      </w:r>
    </w:p>
    <w:p w14:paraId="7D0B097F"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3.1.2 Species Composition and Run Timing</w:t>
      </w:r>
    </w:p>
    <w:p w14:paraId="2B784E2A" w14:textId="77777777" w:rsidR="008D5997" w:rsidRPr="0028289B" w:rsidRDefault="008D5997" w:rsidP="0028289B">
      <w:pPr>
        <w:spacing w:after="240"/>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u w:val="single"/>
        </w:rPr>
        <w:t xml:space="preserve">In the Results, Section 3.1.2 Species Composition and Run Timing, Figure 3.2 illustrates the changes in collection counts.  It’s clearly shows that the % collection counts change daily but the report does not show the hourly or daily count data during the study period which would provide a clearer picture of the daily, weekly change in numbers of fish and pending target size, coupled with </w:t>
      </w:r>
      <w:proofErr w:type="spellStart"/>
      <w:r w:rsidRPr="0028289B">
        <w:rPr>
          <w:rFonts w:asciiTheme="minorHAnsi" w:hAnsiTheme="minorHAnsi" w:cstheme="minorHAnsi"/>
          <w:b/>
          <w:i/>
          <w:color w:val="2E74B5" w:themeColor="accent1" w:themeShade="BF"/>
          <w:sz w:val="22"/>
          <w:szCs w:val="22"/>
          <w:u w:val="single"/>
        </w:rPr>
        <w:t>SMP</w:t>
      </w:r>
      <w:proofErr w:type="spellEnd"/>
      <w:r w:rsidRPr="0028289B">
        <w:rPr>
          <w:rFonts w:asciiTheme="minorHAnsi" w:hAnsiTheme="minorHAnsi" w:cstheme="minorHAnsi"/>
          <w:b/>
          <w:i/>
          <w:color w:val="2E74B5" w:themeColor="accent1" w:themeShade="BF"/>
          <w:sz w:val="22"/>
          <w:szCs w:val="22"/>
          <w:u w:val="single"/>
        </w:rPr>
        <w:t xml:space="preserve"> daily collection and species composition data, estimates of numbers of yearling chinook and steelhead presence and passage.  Hourly count data would enable the fish managers to better understand the study findings and recommendations.</w:t>
      </w:r>
    </w:p>
    <w:p w14:paraId="313FD4AF" w14:textId="77777777" w:rsidR="0028289B" w:rsidRDefault="0028289B" w:rsidP="008D5997"/>
    <w:p w14:paraId="6C57CDB8"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3.4.4 Comparison of Gate Position Treatments for the Spring Experimental Period</w:t>
      </w:r>
    </w:p>
    <w:p w14:paraId="7F7BFC4F"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b/>
          <w:i/>
          <w:color w:val="2E74B5" w:themeColor="accent1" w:themeShade="BF"/>
          <w:sz w:val="22"/>
          <w:szCs w:val="22"/>
        </w:rPr>
        <w:t>The authors concluding sentence: “</w:t>
      </w:r>
      <w:r w:rsidRPr="0028289B">
        <w:rPr>
          <w:rFonts w:asciiTheme="minorHAnsi" w:hAnsiTheme="minorHAnsi" w:cstheme="minorHAnsi"/>
          <w:sz w:val="22"/>
          <w:szCs w:val="22"/>
        </w:rPr>
        <w:t xml:space="preserve">While the </w:t>
      </w:r>
      <w:proofErr w:type="spellStart"/>
      <w:r w:rsidRPr="0028289B">
        <w:rPr>
          <w:rFonts w:asciiTheme="minorHAnsi" w:hAnsiTheme="minorHAnsi" w:cstheme="minorHAnsi"/>
          <w:sz w:val="22"/>
          <w:szCs w:val="22"/>
        </w:rPr>
        <w:t>ROG</w:t>
      </w:r>
      <w:proofErr w:type="spellEnd"/>
      <w:r w:rsidRPr="0028289B">
        <w:rPr>
          <w:rFonts w:asciiTheme="minorHAnsi" w:hAnsiTheme="minorHAnsi" w:cstheme="minorHAnsi"/>
          <w:sz w:val="22"/>
          <w:szCs w:val="22"/>
        </w:rPr>
        <w:t xml:space="preserve"> position was associated with an FGE almost 1 % higher than that for the </w:t>
      </w:r>
      <w:proofErr w:type="spellStart"/>
      <w:r w:rsidRPr="0028289B">
        <w:rPr>
          <w:rFonts w:asciiTheme="minorHAnsi" w:hAnsiTheme="minorHAnsi" w:cstheme="minorHAnsi"/>
          <w:sz w:val="22"/>
          <w:szCs w:val="22"/>
        </w:rPr>
        <w:t>SOG</w:t>
      </w:r>
      <w:proofErr w:type="spellEnd"/>
      <w:r w:rsidRPr="0028289B">
        <w:rPr>
          <w:rFonts w:asciiTheme="minorHAnsi" w:hAnsiTheme="minorHAnsi" w:cstheme="minorHAnsi"/>
          <w:sz w:val="22"/>
          <w:szCs w:val="22"/>
        </w:rPr>
        <w:t xml:space="preserve"> position, this difference was overshadowed by the variability within treatments.”</w:t>
      </w:r>
    </w:p>
    <w:p w14:paraId="528B5544"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rPr>
        <w:t xml:space="preserve">Figure 3.2 clearly shows that both the point estimate and error bounds are higher with the gates in </w:t>
      </w:r>
      <w:proofErr w:type="spellStart"/>
      <w:r w:rsidRPr="0028289B">
        <w:rPr>
          <w:rFonts w:asciiTheme="minorHAnsi" w:hAnsiTheme="minorHAnsi" w:cstheme="minorHAnsi"/>
          <w:b/>
          <w:i/>
          <w:color w:val="2E74B5" w:themeColor="accent1" w:themeShade="BF"/>
          <w:sz w:val="22"/>
          <w:szCs w:val="22"/>
        </w:rPr>
        <w:t>ROG</w:t>
      </w:r>
      <w:proofErr w:type="spellEnd"/>
      <w:r w:rsidRPr="0028289B">
        <w:rPr>
          <w:rFonts w:asciiTheme="minorHAnsi" w:hAnsiTheme="minorHAnsi" w:cstheme="minorHAnsi"/>
          <w:b/>
          <w:i/>
          <w:color w:val="2E74B5" w:themeColor="accent1" w:themeShade="BF"/>
          <w:sz w:val="22"/>
          <w:szCs w:val="22"/>
        </w:rPr>
        <w:t xml:space="preserve"> than in the </w:t>
      </w:r>
      <w:proofErr w:type="spellStart"/>
      <w:r w:rsidRPr="0028289B">
        <w:rPr>
          <w:rFonts w:asciiTheme="minorHAnsi" w:hAnsiTheme="minorHAnsi" w:cstheme="minorHAnsi"/>
          <w:b/>
          <w:i/>
          <w:color w:val="2E74B5" w:themeColor="accent1" w:themeShade="BF"/>
          <w:sz w:val="22"/>
          <w:szCs w:val="22"/>
        </w:rPr>
        <w:t>SOG</w:t>
      </w:r>
      <w:proofErr w:type="spellEnd"/>
      <w:r w:rsidRPr="0028289B">
        <w:rPr>
          <w:rFonts w:asciiTheme="minorHAnsi" w:hAnsiTheme="minorHAnsi" w:cstheme="minorHAnsi"/>
          <w:b/>
          <w:i/>
          <w:color w:val="2E74B5" w:themeColor="accent1" w:themeShade="BF"/>
          <w:sz w:val="22"/>
          <w:szCs w:val="22"/>
        </w:rPr>
        <w:t xml:space="preserve"> position.</w:t>
      </w:r>
    </w:p>
    <w:p w14:paraId="4652E134"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p>
    <w:p w14:paraId="74965703"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sz w:val="22"/>
          <w:szCs w:val="22"/>
        </w:rPr>
        <w:t>4.0 Discussion</w:t>
      </w:r>
    </w:p>
    <w:p w14:paraId="46950719"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b/>
          <w:i/>
          <w:color w:val="2E74B5" w:themeColor="accent1" w:themeShade="BF"/>
          <w:sz w:val="22"/>
          <w:szCs w:val="22"/>
        </w:rPr>
        <w:t xml:space="preserve">Here the authors state </w:t>
      </w:r>
      <w:proofErr w:type="gramStart"/>
      <w:r w:rsidRPr="0028289B">
        <w:rPr>
          <w:rFonts w:asciiTheme="minorHAnsi" w:hAnsiTheme="minorHAnsi" w:cstheme="minorHAnsi"/>
          <w:b/>
          <w:i/>
          <w:color w:val="2E74B5" w:themeColor="accent1" w:themeShade="BF"/>
          <w:sz w:val="22"/>
          <w:szCs w:val="22"/>
        </w:rPr>
        <w:t>the during</w:t>
      </w:r>
      <w:proofErr w:type="gramEnd"/>
      <w:r w:rsidRPr="0028289B">
        <w:rPr>
          <w:rFonts w:asciiTheme="minorHAnsi" w:hAnsiTheme="minorHAnsi" w:cstheme="minorHAnsi"/>
          <w:b/>
          <w:i/>
          <w:color w:val="2E74B5" w:themeColor="accent1" w:themeShade="BF"/>
          <w:sz w:val="22"/>
          <w:szCs w:val="22"/>
        </w:rPr>
        <w:t xml:space="preserve"> the spring study period, </w:t>
      </w:r>
      <w:r w:rsidRPr="0028289B">
        <w:rPr>
          <w:rFonts w:asciiTheme="minorHAnsi" w:hAnsiTheme="minorHAnsi" w:cstheme="minorHAnsi"/>
          <w:sz w:val="22"/>
          <w:szCs w:val="22"/>
        </w:rPr>
        <w:t xml:space="preserve">“estimates of FGE during the </w:t>
      </w:r>
      <w:proofErr w:type="spellStart"/>
      <w:r w:rsidRPr="0028289B">
        <w:rPr>
          <w:rFonts w:asciiTheme="minorHAnsi" w:hAnsiTheme="minorHAnsi" w:cstheme="minorHAnsi"/>
          <w:sz w:val="22"/>
          <w:szCs w:val="22"/>
        </w:rPr>
        <w:t>ROG</w:t>
      </w:r>
      <w:proofErr w:type="spellEnd"/>
      <w:r w:rsidRPr="0028289B">
        <w:rPr>
          <w:rFonts w:asciiTheme="minorHAnsi" w:hAnsiTheme="minorHAnsi" w:cstheme="minorHAnsi"/>
          <w:sz w:val="22"/>
          <w:szCs w:val="22"/>
        </w:rPr>
        <w:t xml:space="preserve"> treatment less than 1% higher than the </w:t>
      </w:r>
      <w:proofErr w:type="spellStart"/>
      <w:r w:rsidRPr="0028289B">
        <w:rPr>
          <w:rFonts w:asciiTheme="minorHAnsi" w:hAnsiTheme="minorHAnsi" w:cstheme="minorHAnsi"/>
          <w:sz w:val="22"/>
          <w:szCs w:val="22"/>
        </w:rPr>
        <w:t>SOG</w:t>
      </w:r>
      <w:proofErr w:type="spellEnd"/>
      <w:r w:rsidRPr="0028289B">
        <w:rPr>
          <w:rFonts w:asciiTheme="minorHAnsi" w:hAnsiTheme="minorHAnsi" w:cstheme="minorHAnsi"/>
          <w:sz w:val="22"/>
          <w:szCs w:val="22"/>
        </w:rPr>
        <w:t xml:space="preserve"> treatment condition”</w:t>
      </w:r>
      <w:r w:rsidRPr="0028289B">
        <w:rPr>
          <w:rFonts w:asciiTheme="minorHAnsi" w:hAnsiTheme="minorHAnsi" w:cstheme="minorHAnsi"/>
          <w:b/>
          <w:i/>
          <w:color w:val="2E74B5" w:themeColor="accent1" w:themeShade="BF"/>
          <w:sz w:val="22"/>
          <w:szCs w:val="22"/>
        </w:rPr>
        <w:t xml:space="preserve"> and that </w:t>
      </w:r>
      <w:r w:rsidRPr="0028289B">
        <w:rPr>
          <w:rFonts w:asciiTheme="minorHAnsi" w:hAnsiTheme="minorHAnsi" w:cstheme="minorHAnsi"/>
          <w:sz w:val="22"/>
          <w:szCs w:val="22"/>
        </w:rPr>
        <w:t xml:space="preserve">“the turbine unit location explained a significant amount of the variation”.  </w:t>
      </w:r>
    </w:p>
    <w:p w14:paraId="5E3E3168"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bookmarkStart w:id="15" w:name="_Hlk48114838"/>
      <w:r w:rsidRPr="0028289B">
        <w:rPr>
          <w:rFonts w:asciiTheme="minorHAnsi" w:hAnsiTheme="minorHAnsi" w:cstheme="minorHAnsi"/>
          <w:b/>
          <w:i/>
          <w:color w:val="2E74B5" w:themeColor="accent1" w:themeShade="BF"/>
          <w:sz w:val="22"/>
          <w:szCs w:val="22"/>
        </w:rPr>
        <w:t xml:space="preserve">The data presented show that the </w:t>
      </w:r>
      <w:proofErr w:type="spellStart"/>
      <w:r w:rsidRPr="0028289B">
        <w:rPr>
          <w:rFonts w:asciiTheme="minorHAnsi" w:hAnsiTheme="minorHAnsi" w:cstheme="minorHAnsi"/>
          <w:b/>
          <w:i/>
          <w:color w:val="2E74B5" w:themeColor="accent1" w:themeShade="BF"/>
          <w:sz w:val="22"/>
          <w:szCs w:val="22"/>
        </w:rPr>
        <w:t>ROG</w:t>
      </w:r>
      <w:proofErr w:type="spellEnd"/>
      <w:r w:rsidRPr="0028289B">
        <w:rPr>
          <w:rFonts w:asciiTheme="minorHAnsi" w:hAnsiTheme="minorHAnsi" w:cstheme="minorHAnsi"/>
          <w:b/>
          <w:i/>
          <w:color w:val="2E74B5" w:themeColor="accent1" w:themeShade="BF"/>
          <w:sz w:val="22"/>
          <w:szCs w:val="22"/>
        </w:rPr>
        <w:t xml:space="preserve"> gate condition was overall more beneficial, by 0.8% in the tests conducted at Lower Monumental Dam for spring migrants.  </w:t>
      </w:r>
      <w:r w:rsidRPr="0028289B">
        <w:rPr>
          <w:rFonts w:asciiTheme="minorHAnsi" w:hAnsiTheme="minorHAnsi" w:cstheme="minorHAnsi"/>
          <w:b/>
          <w:i/>
          <w:color w:val="2E74B5" w:themeColor="accent1" w:themeShade="BF"/>
          <w:sz w:val="22"/>
          <w:szCs w:val="22"/>
          <w:u w:val="single"/>
        </w:rPr>
        <w:t>This change, even though small, would, based on the test results, have a negative impact on spring migrant survival at Lower Monumental Dam.</w:t>
      </w:r>
      <w:r w:rsidRPr="0028289B">
        <w:rPr>
          <w:rFonts w:asciiTheme="minorHAnsi" w:hAnsiTheme="minorHAnsi" w:cstheme="minorHAnsi"/>
          <w:b/>
          <w:i/>
          <w:color w:val="2E74B5" w:themeColor="accent1" w:themeShade="BF"/>
          <w:sz w:val="22"/>
          <w:szCs w:val="22"/>
        </w:rPr>
        <w:t xml:space="preserve">   The authors conclude that based on computed dam survivals with the operating gates in the stored position would be small and note that they would not always be positive, even though with the change survivals would be expected to still meet BiOp dam survival targets.  </w:t>
      </w:r>
    </w:p>
    <w:p w14:paraId="12FA4F21"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u w:val="single"/>
        </w:rPr>
        <w:t xml:space="preserve">WDFW does not agree with the extension of study results and assumptions to Ice Harbor and or the other Snake R projects without acknowledging a potential negative impact to the survival of spring migrants.  Nor do we agree with the </w:t>
      </w:r>
      <w:proofErr w:type="spellStart"/>
      <w:r w:rsidRPr="0028289B">
        <w:rPr>
          <w:rFonts w:asciiTheme="minorHAnsi" w:hAnsiTheme="minorHAnsi" w:cstheme="minorHAnsi"/>
          <w:b/>
          <w:i/>
          <w:color w:val="2E74B5" w:themeColor="accent1" w:themeShade="BF"/>
          <w:sz w:val="22"/>
          <w:szCs w:val="22"/>
          <w:u w:val="single"/>
        </w:rPr>
        <w:t>COE’s</w:t>
      </w:r>
      <w:proofErr w:type="spellEnd"/>
      <w:r w:rsidRPr="0028289B">
        <w:rPr>
          <w:rFonts w:asciiTheme="minorHAnsi" w:hAnsiTheme="minorHAnsi" w:cstheme="minorHAnsi"/>
          <w:b/>
          <w:i/>
          <w:color w:val="2E74B5" w:themeColor="accent1" w:themeShade="BF"/>
          <w:sz w:val="22"/>
          <w:szCs w:val="22"/>
          <w:u w:val="single"/>
        </w:rPr>
        <w:t xml:space="preserve"> White paper for the same reason</w:t>
      </w:r>
      <w:r w:rsidRPr="0028289B">
        <w:rPr>
          <w:rFonts w:asciiTheme="minorHAnsi" w:hAnsiTheme="minorHAnsi" w:cstheme="minorHAnsi"/>
          <w:b/>
          <w:i/>
          <w:color w:val="2E74B5" w:themeColor="accent1" w:themeShade="BF"/>
          <w:sz w:val="22"/>
          <w:szCs w:val="22"/>
        </w:rPr>
        <w:t xml:space="preserve">.  </w:t>
      </w:r>
      <w:bookmarkEnd w:id="15"/>
    </w:p>
    <w:p w14:paraId="1661F269" w14:textId="1C95652C" w:rsidR="008D5997" w:rsidRDefault="008D5997" w:rsidP="007C1194">
      <w:pPr>
        <w:spacing w:after="160"/>
      </w:pPr>
    </w:p>
    <w:sectPr w:rsidR="008D599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8E310" w14:textId="77777777" w:rsidR="00996D61" w:rsidRDefault="00996D61" w:rsidP="0007427B">
      <w:r>
        <w:separator/>
      </w:r>
    </w:p>
  </w:endnote>
  <w:endnote w:type="continuationSeparator" w:id="0">
    <w:p w14:paraId="159FE8D6" w14:textId="77777777" w:rsidR="00996D61" w:rsidRDefault="00996D6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6B99" w14:textId="5AEBCED2" w:rsidR="00D064FA" w:rsidRDefault="00181A58" w:rsidP="00636E55">
    <w:pPr>
      <w:pStyle w:val="Footer"/>
      <w:jc w:val="center"/>
      <w:rPr>
        <w:rFonts w:ascii="Calibri" w:hAnsi="Calibri" w:cs="Calibri"/>
        <w:b/>
        <w:sz w:val="20"/>
        <w:szCs w:val="20"/>
        <w:lang w:val="en-US"/>
      </w:rPr>
    </w:pPr>
    <w:r>
      <w:rPr>
        <w:rFonts w:ascii="Calibri" w:hAnsi="Calibri" w:cs="Calibri"/>
        <w:b/>
        <w:sz w:val="20"/>
        <w:szCs w:val="20"/>
        <w:lang w:val="en-US"/>
      </w:rPr>
      <w:t>20</w:t>
    </w:r>
    <w:r w:rsidR="00F167D9">
      <w:rPr>
        <w:rFonts w:ascii="Calibri" w:hAnsi="Calibri" w:cs="Calibri"/>
        <w:b/>
        <w:sz w:val="20"/>
        <w:szCs w:val="20"/>
        <w:lang w:val="en-US"/>
      </w:rPr>
      <w:t>IHR</w:t>
    </w:r>
    <w:r w:rsidR="001C3221">
      <w:rPr>
        <w:rFonts w:ascii="Calibri" w:hAnsi="Calibri" w:cs="Calibri"/>
        <w:b/>
        <w:sz w:val="20"/>
        <w:szCs w:val="20"/>
        <w:lang w:val="en-US"/>
      </w:rPr>
      <w:t>003</w:t>
    </w:r>
  </w:p>
  <w:p w14:paraId="4527BF42" w14:textId="38058514" w:rsidR="00557363" w:rsidRPr="003A28B3" w:rsidRDefault="003A28B3" w:rsidP="00A663BB">
    <w:pPr>
      <w:pStyle w:val="Foote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E30551">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E30551">
      <w:rPr>
        <w:rFonts w:ascii="Calibri" w:hAnsi="Calibri" w:cs="Calibri"/>
        <w:b/>
        <w:noProof/>
        <w:sz w:val="20"/>
        <w:szCs w:val="20"/>
      </w:rPr>
      <w:t>12</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FF793" w14:textId="77777777" w:rsidR="00996D61" w:rsidRDefault="00996D61" w:rsidP="0007427B">
      <w:r>
        <w:separator/>
      </w:r>
    </w:p>
  </w:footnote>
  <w:footnote w:type="continuationSeparator" w:id="0">
    <w:p w14:paraId="7331AD4B" w14:textId="77777777" w:rsidR="00996D61" w:rsidRDefault="00996D61" w:rsidP="0007427B">
      <w:r>
        <w:continuationSeparator/>
      </w:r>
    </w:p>
  </w:footnote>
  <w:footnote w:id="1">
    <w:p w14:paraId="22E0A7C5" w14:textId="597BC88A" w:rsidR="00CD3FE3" w:rsidRPr="00CD3FE3" w:rsidRDefault="00CD3FE3">
      <w:pPr>
        <w:pStyle w:val="FootnoteText"/>
        <w:rPr>
          <w:lang w:val="en-US"/>
        </w:rPr>
      </w:pPr>
      <w:r w:rsidRPr="00CD3FE3">
        <w:rPr>
          <w:rStyle w:val="FootnoteReference"/>
          <w:rFonts w:ascii="Times New Roman" w:hAnsi="Times New Roman"/>
        </w:rPr>
        <w:footnoteRef/>
      </w:r>
      <w:r w:rsidRPr="00CD3FE3">
        <w:rPr>
          <w:rFonts w:ascii="Times New Roman" w:hAnsi="Times New Roman"/>
        </w:rPr>
        <w:t xml:space="preserve"> </w:t>
      </w:r>
      <w:proofErr w:type="spellStart"/>
      <w:r w:rsidRPr="00CD3FE3">
        <w:rPr>
          <w:rFonts w:ascii="Times New Roman" w:hAnsi="Times New Roman"/>
          <w:lang w:val="en-US"/>
        </w:rPr>
        <w:t>FPC</w:t>
      </w:r>
      <w:proofErr w:type="spellEnd"/>
      <w:r w:rsidRPr="00CD3FE3">
        <w:rPr>
          <w:rFonts w:ascii="Times New Roman" w:hAnsi="Times New Roman"/>
          <w:lang w:val="en-US"/>
        </w:rPr>
        <w:t xml:space="preserve"> memos dated 8/31/20 and 9/28/20, online at: </w:t>
      </w:r>
      <w:hyperlink r:id="rId1" w:history="1">
        <w:r w:rsidRPr="00CD3FE3">
          <w:rPr>
            <w:rStyle w:val="Hyperlink"/>
            <w:rFonts w:ascii="Times New Roman" w:hAnsi="Times New Roman"/>
            <w:u w:val="none"/>
          </w:rPr>
          <w:t>https://www.fpc.org/documents/FPC_memos.html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1641" w14:textId="54FE8C0D" w:rsidR="003B27D8" w:rsidRPr="003B27D8" w:rsidRDefault="003B27D8" w:rsidP="003B27D8">
    <w:pPr>
      <w:pStyle w:val="Header"/>
      <w:pBdr>
        <w:bottom w:val="single" w:sz="4" w:space="1" w:color="auto"/>
      </w:pBd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 xml:space="preserve">WHITE PAPER – IHR </w:t>
    </w:r>
    <w:proofErr w:type="spellStart"/>
    <w:r w:rsidRPr="003B27D8">
      <w:rPr>
        <w:rFonts w:asciiTheme="minorHAnsi" w:hAnsiTheme="minorHAnsi" w:cstheme="minorHAnsi"/>
        <w:i/>
        <w:sz w:val="20"/>
        <w:szCs w:val="20"/>
        <w:lang w:val="en-US"/>
      </w:rPr>
      <w:t>Headgate</w:t>
    </w:r>
    <w:proofErr w:type="spellEnd"/>
    <w:r w:rsidRPr="003B27D8">
      <w:rPr>
        <w:rFonts w:asciiTheme="minorHAnsi" w:hAnsiTheme="minorHAnsi" w:cstheme="minorHAnsi"/>
        <w:i/>
        <w:sz w:val="20"/>
        <w:szCs w:val="20"/>
        <w:lang w:val="en-US"/>
      </w:rPr>
      <w:t xml:space="preserve"> Cylinder Replacement (</w:t>
    </w:r>
    <w:r w:rsidR="0083417F">
      <w:rPr>
        <w:rFonts w:asciiTheme="minorHAnsi" w:hAnsiTheme="minorHAnsi" w:cstheme="minorHAnsi"/>
        <w:i/>
        <w:sz w:val="20"/>
        <w:szCs w:val="20"/>
        <w:lang w:val="en-US"/>
      </w:rPr>
      <w:t xml:space="preserve">K. Anderson, </w:t>
    </w:r>
    <w:r w:rsidRPr="003B27D8">
      <w:rPr>
        <w:rFonts w:asciiTheme="minorHAnsi" w:hAnsiTheme="minorHAnsi" w:cstheme="minorHAnsi"/>
        <w:i/>
        <w:sz w:val="20"/>
        <w:szCs w:val="20"/>
        <w:lang w:val="en-US"/>
      </w:rPr>
      <w:t>June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BED" w14:textId="170ACC59" w:rsidR="003B27D8" w:rsidRPr="003B27D8" w:rsidRDefault="003B27D8" w:rsidP="003B27D8">
    <w:pPr>
      <w:pStyle w:val="Heade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 xml:space="preserve">WHITE PAPER – IHR </w:t>
    </w:r>
    <w:proofErr w:type="spellStart"/>
    <w:r w:rsidRPr="003B27D8">
      <w:rPr>
        <w:rFonts w:asciiTheme="minorHAnsi" w:hAnsiTheme="minorHAnsi" w:cstheme="minorHAnsi"/>
        <w:i/>
        <w:sz w:val="20"/>
        <w:szCs w:val="20"/>
        <w:lang w:val="en-US"/>
      </w:rPr>
      <w:t>Headgate</w:t>
    </w:r>
    <w:proofErr w:type="spellEnd"/>
    <w:r w:rsidRPr="003B27D8">
      <w:rPr>
        <w:rFonts w:asciiTheme="minorHAnsi" w:hAnsiTheme="minorHAnsi" w:cstheme="minorHAnsi"/>
        <w:i/>
        <w:sz w:val="20"/>
        <w:szCs w:val="20"/>
        <w:lang w:val="en-US"/>
      </w:rPr>
      <w:t xml:space="preserve"> Cylinder Replacement (June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17E" w14:textId="77777777" w:rsidR="004E552C" w:rsidRPr="008D5997" w:rsidRDefault="000234C9" w:rsidP="004E552C">
    <w:pPr>
      <w:pStyle w:val="Header"/>
      <w:jc w:val="center"/>
      <w:rPr>
        <w:rFonts w:asciiTheme="minorHAnsi" w:hAnsiTheme="minorHAnsi" w:cstheme="minorHAnsi"/>
        <w:b/>
        <w:i/>
        <w:sz w:val="22"/>
        <w:szCs w:val="22"/>
      </w:rPr>
    </w:pPr>
    <w:r w:rsidRPr="008D5997">
      <w:rPr>
        <w:rFonts w:asciiTheme="minorHAnsi" w:hAnsiTheme="minorHAnsi" w:cstheme="minorHAnsi"/>
        <w:b/>
        <w:i/>
        <w:sz w:val="22"/>
        <w:szCs w:val="22"/>
      </w:rPr>
      <w:t xml:space="preserve">WDFW comments on the </w:t>
    </w:r>
    <w:proofErr w:type="spellStart"/>
    <w:r w:rsidRPr="008D5997">
      <w:rPr>
        <w:rFonts w:asciiTheme="minorHAnsi" w:hAnsiTheme="minorHAnsi" w:cstheme="minorHAnsi"/>
        <w:b/>
        <w:i/>
        <w:sz w:val="22"/>
        <w:szCs w:val="22"/>
      </w:rPr>
      <w:t>SOG</w:t>
    </w:r>
    <w:proofErr w:type="spellEnd"/>
    <w:r w:rsidRPr="008D5997">
      <w:rPr>
        <w:rFonts w:asciiTheme="minorHAnsi" w:hAnsiTheme="minorHAnsi" w:cstheme="minorHAnsi"/>
        <w:b/>
        <w:i/>
        <w:sz w:val="22"/>
        <w:szCs w:val="22"/>
      </w:rPr>
      <w:t xml:space="preserve"> – </w:t>
    </w:r>
    <w:proofErr w:type="spellStart"/>
    <w:r w:rsidRPr="008D5997">
      <w:rPr>
        <w:rFonts w:asciiTheme="minorHAnsi" w:hAnsiTheme="minorHAnsi" w:cstheme="minorHAnsi"/>
        <w:b/>
        <w:i/>
        <w:sz w:val="22"/>
        <w:szCs w:val="22"/>
      </w:rPr>
      <w:t>ROG</w:t>
    </w:r>
    <w:proofErr w:type="spellEnd"/>
    <w:r w:rsidRPr="008D5997">
      <w:rPr>
        <w:rFonts w:asciiTheme="minorHAnsi" w:hAnsiTheme="minorHAnsi" w:cstheme="minorHAnsi"/>
        <w:b/>
        <w:i/>
        <w:sz w:val="22"/>
        <w:szCs w:val="22"/>
      </w:rPr>
      <w:t xml:space="preserve"> issue discussed at FPOM July 2020:  </w:t>
    </w:r>
    <w:proofErr w:type="spellStart"/>
    <w:r w:rsidRPr="008D5997">
      <w:rPr>
        <w:rFonts w:asciiTheme="minorHAnsi" w:hAnsiTheme="minorHAnsi" w:cstheme="minorHAnsi"/>
        <w:b/>
        <w:i/>
        <w:sz w:val="22"/>
        <w:szCs w:val="22"/>
      </w:rPr>
      <w:t>PNNL</w:t>
    </w:r>
    <w:proofErr w:type="spellEnd"/>
    <w:r w:rsidRPr="008D5997">
      <w:rPr>
        <w:rFonts w:asciiTheme="minorHAnsi" w:hAnsiTheme="minorHAnsi" w:cstheme="minorHAnsi"/>
        <w:b/>
        <w:i/>
        <w:sz w:val="22"/>
        <w:szCs w:val="22"/>
      </w:rPr>
      <w:t xml:space="preserve"> Final Report 29106 ‘Effect of Operating Gate Position on Juvenile Salmon Fish Guidance Efficiency</w:t>
    </w:r>
  </w:p>
  <w:p w14:paraId="36A0B3B5" w14:textId="77777777" w:rsidR="0014425F" w:rsidRPr="008D5997" w:rsidRDefault="000234C9" w:rsidP="004E552C">
    <w:pPr>
      <w:pStyle w:val="Header"/>
      <w:jc w:val="center"/>
      <w:rPr>
        <w:rFonts w:asciiTheme="minorHAnsi" w:hAnsiTheme="minorHAnsi" w:cstheme="minorHAnsi"/>
        <w:b/>
        <w:i/>
        <w:sz w:val="22"/>
        <w:szCs w:val="22"/>
      </w:rPr>
    </w:pPr>
    <w:r w:rsidRPr="008D5997">
      <w:rPr>
        <w:rFonts w:asciiTheme="minorHAnsi" w:hAnsiTheme="minorHAnsi" w:cstheme="minorHAnsi"/>
        <w:b/>
        <w:i/>
        <w:sz w:val="22"/>
        <w:szCs w:val="22"/>
      </w:rPr>
      <w:t>at Lower Monumental Dam’ and Cfm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0D3B2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87B8B"/>
    <w:multiLevelType w:val="hybridMultilevel"/>
    <w:tmpl w:val="76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131220"/>
    <w:multiLevelType w:val="hybridMultilevel"/>
    <w:tmpl w:val="6B3094C8"/>
    <w:lvl w:ilvl="0" w:tplc="F78C62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2"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E20C23"/>
    <w:multiLevelType w:val="hybridMultilevel"/>
    <w:tmpl w:val="A206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E75E1"/>
    <w:multiLevelType w:val="hybridMultilevel"/>
    <w:tmpl w:val="4F76D608"/>
    <w:lvl w:ilvl="0" w:tplc="54466B06">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4BC16F73"/>
    <w:multiLevelType w:val="hybridMultilevel"/>
    <w:tmpl w:val="A5DA22A2"/>
    <w:lvl w:ilvl="0" w:tplc="08AC2E32">
      <w:start w:val="1"/>
      <w:numFmt w:val="decimal"/>
      <w:lvlText w:val="%1)"/>
      <w:lvlJc w:val="left"/>
      <w:pPr>
        <w:ind w:left="140" w:hanging="260"/>
      </w:pPr>
      <w:rPr>
        <w:rFonts w:ascii="Times New Roman" w:eastAsia="Times New Roman" w:hAnsi="Times New Roman" w:hint="default"/>
        <w:b w:val="0"/>
        <w:sz w:val="24"/>
        <w:szCs w:val="24"/>
      </w:rPr>
    </w:lvl>
    <w:lvl w:ilvl="1" w:tplc="4D32C88A">
      <w:start w:val="1"/>
      <w:numFmt w:val="bullet"/>
      <w:lvlText w:val="•"/>
      <w:lvlJc w:val="left"/>
      <w:pPr>
        <w:ind w:left="1096" w:hanging="260"/>
      </w:pPr>
      <w:rPr>
        <w:rFonts w:hint="default"/>
      </w:rPr>
    </w:lvl>
    <w:lvl w:ilvl="2" w:tplc="034CB922">
      <w:start w:val="1"/>
      <w:numFmt w:val="bullet"/>
      <w:lvlText w:val="•"/>
      <w:lvlJc w:val="left"/>
      <w:pPr>
        <w:ind w:left="2052" w:hanging="260"/>
      </w:pPr>
      <w:rPr>
        <w:rFonts w:hint="default"/>
      </w:rPr>
    </w:lvl>
    <w:lvl w:ilvl="3" w:tplc="D08657EA">
      <w:start w:val="1"/>
      <w:numFmt w:val="bullet"/>
      <w:lvlText w:val="•"/>
      <w:lvlJc w:val="left"/>
      <w:pPr>
        <w:ind w:left="3008" w:hanging="260"/>
      </w:pPr>
      <w:rPr>
        <w:rFonts w:hint="default"/>
      </w:rPr>
    </w:lvl>
    <w:lvl w:ilvl="4" w:tplc="00B6AEA6">
      <w:start w:val="1"/>
      <w:numFmt w:val="bullet"/>
      <w:lvlText w:val="•"/>
      <w:lvlJc w:val="left"/>
      <w:pPr>
        <w:ind w:left="3964" w:hanging="260"/>
      </w:pPr>
      <w:rPr>
        <w:rFonts w:hint="default"/>
      </w:rPr>
    </w:lvl>
    <w:lvl w:ilvl="5" w:tplc="B63E1FAC">
      <w:start w:val="1"/>
      <w:numFmt w:val="bullet"/>
      <w:lvlText w:val="•"/>
      <w:lvlJc w:val="left"/>
      <w:pPr>
        <w:ind w:left="4920" w:hanging="260"/>
      </w:pPr>
      <w:rPr>
        <w:rFonts w:hint="default"/>
      </w:rPr>
    </w:lvl>
    <w:lvl w:ilvl="6" w:tplc="92A09A70">
      <w:start w:val="1"/>
      <w:numFmt w:val="bullet"/>
      <w:lvlText w:val="•"/>
      <w:lvlJc w:val="left"/>
      <w:pPr>
        <w:ind w:left="5876" w:hanging="260"/>
      </w:pPr>
      <w:rPr>
        <w:rFonts w:hint="default"/>
      </w:rPr>
    </w:lvl>
    <w:lvl w:ilvl="7" w:tplc="3B2681B0">
      <w:start w:val="1"/>
      <w:numFmt w:val="bullet"/>
      <w:lvlText w:val="•"/>
      <w:lvlJc w:val="left"/>
      <w:pPr>
        <w:ind w:left="6832" w:hanging="260"/>
      </w:pPr>
      <w:rPr>
        <w:rFonts w:hint="default"/>
      </w:rPr>
    </w:lvl>
    <w:lvl w:ilvl="8" w:tplc="E64218E4">
      <w:start w:val="1"/>
      <w:numFmt w:val="bullet"/>
      <w:lvlText w:val="•"/>
      <w:lvlJc w:val="left"/>
      <w:pPr>
        <w:ind w:left="7788" w:hanging="260"/>
      </w:pPr>
      <w:rPr>
        <w:rFonts w:hint="default"/>
      </w:rPr>
    </w:lvl>
  </w:abstractNum>
  <w:abstractNum w:abstractNumId="22"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14851"/>
    <w:multiLevelType w:val="hybridMultilevel"/>
    <w:tmpl w:val="A22012E2"/>
    <w:lvl w:ilvl="0" w:tplc="B0A2B9F0">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1"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D54B30"/>
    <w:multiLevelType w:val="hybridMultilevel"/>
    <w:tmpl w:val="59C8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11"/>
  </w:num>
  <w:num w:numId="3">
    <w:abstractNumId w:val="31"/>
  </w:num>
  <w:num w:numId="4">
    <w:abstractNumId w:val="20"/>
  </w:num>
  <w:num w:numId="5">
    <w:abstractNumId w:val="22"/>
  </w:num>
  <w:num w:numId="6">
    <w:abstractNumId w:val="16"/>
  </w:num>
  <w:num w:numId="7">
    <w:abstractNumId w:val="19"/>
  </w:num>
  <w:num w:numId="8">
    <w:abstractNumId w:val="35"/>
  </w:num>
  <w:num w:numId="9">
    <w:abstractNumId w:val="34"/>
  </w:num>
  <w:num w:numId="10">
    <w:abstractNumId w:val="23"/>
  </w:num>
  <w:num w:numId="11">
    <w:abstractNumId w:val="32"/>
  </w:num>
  <w:num w:numId="12">
    <w:abstractNumId w:val="5"/>
  </w:num>
  <w:num w:numId="13">
    <w:abstractNumId w:val="12"/>
  </w:num>
  <w:num w:numId="14">
    <w:abstractNumId w:val="8"/>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2"/>
  </w:num>
  <w:num w:numId="20">
    <w:abstractNumId w:val="25"/>
  </w:num>
  <w:num w:numId="21">
    <w:abstractNumId w:val="13"/>
  </w:num>
  <w:num w:numId="22">
    <w:abstractNumId w:val="28"/>
  </w:num>
  <w:num w:numId="23">
    <w:abstractNumId w:val="18"/>
  </w:num>
  <w:num w:numId="24">
    <w:abstractNumId w:val="3"/>
  </w:num>
  <w:num w:numId="25">
    <w:abstractNumId w:val="26"/>
  </w:num>
  <w:num w:numId="26">
    <w:abstractNumId w:val="9"/>
  </w:num>
  <w:num w:numId="27">
    <w:abstractNumId w:val="29"/>
  </w:num>
  <w:num w:numId="28">
    <w:abstractNumId w:val="21"/>
  </w:num>
  <w:num w:numId="29">
    <w:abstractNumId w:val="0"/>
  </w:num>
  <w:num w:numId="30">
    <w:abstractNumId w:val="1"/>
  </w:num>
  <w:num w:numId="31">
    <w:abstractNumId w:val="24"/>
  </w:num>
  <w:num w:numId="32">
    <w:abstractNumId w:val="17"/>
  </w:num>
  <w:num w:numId="33">
    <w:abstractNumId w:val="6"/>
  </w:num>
  <w:num w:numId="34">
    <w:abstractNumId w:val="10"/>
  </w:num>
  <w:num w:numId="35">
    <w:abstractNumId w:val="14"/>
  </w:num>
  <w:num w:numId="3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07BF8"/>
    <w:rsid w:val="00010468"/>
    <w:rsid w:val="000129C7"/>
    <w:rsid w:val="00012EDE"/>
    <w:rsid w:val="00015C9B"/>
    <w:rsid w:val="00015DFA"/>
    <w:rsid w:val="00017367"/>
    <w:rsid w:val="000175C5"/>
    <w:rsid w:val="00020375"/>
    <w:rsid w:val="00021356"/>
    <w:rsid w:val="00021675"/>
    <w:rsid w:val="000216C6"/>
    <w:rsid w:val="000234C9"/>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496F"/>
    <w:rsid w:val="000556E5"/>
    <w:rsid w:val="00056572"/>
    <w:rsid w:val="00056C9A"/>
    <w:rsid w:val="00056FA0"/>
    <w:rsid w:val="00057E33"/>
    <w:rsid w:val="000621DD"/>
    <w:rsid w:val="000624A3"/>
    <w:rsid w:val="000624A4"/>
    <w:rsid w:val="0006278E"/>
    <w:rsid w:val="00063EC2"/>
    <w:rsid w:val="0006475A"/>
    <w:rsid w:val="00064A36"/>
    <w:rsid w:val="0006688E"/>
    <w:rsid w:val="00067482"/>
    <w:rsid w:val="0007106A"/>
    <w:rsid w:val="000710D3"/>
    <w:rsid w:val="00071838"/>
    <w:rsid w:val="00072271"/>
    <w:rsid w:val="00072713"/>
    <w:rsid w:val="00072A45"/>
    <w:rsid w:val="000733EB"/>
    <w:rsid w:val="000738D5"/>
    <w:rsid w:val="0007427B"/>
    <w:rsid w:val="0007437F"/>
    <w:rsid w:val="00076B5B"/>
    <w:rsid w:val="00082FCC"/>
    <w:rsid w:val="0008487C"/>
    <w:rsid w:val="000858E4"/>
    <w:rsid w:val="0008616B"/>
    <w:rsid w:val="00086620"/>
    <w:rsid w:val="0009057A"/>
    <w:rsid w:val="00090858"/>
    <w:rsid w:val="00093642"/>
    <w:rsid w:val="000943CD"/>
    <w:rsid w:val="00094976"/>
    <w:rsid w:val="00095962"/>
    <w:rsid w:val="00096BF6"/>
    <w:rsid w:val="00097A63"/>
    <w:rsid w:val="000A1D72"/>
    <w:rsid w:val="000A3676"/>
    <w:rsid w:val="000A5689"/>
    <w:rsid w:val="000A5EF3"/>
    <w:rsid w:val="000A6447"/>
    <w:rsid w:val="000A76C1"/>
    <w:rsid w:val="000B0A49"/>
    <w:rsid w:val="000B1230"/>
    <w:rsid w:val="000B6082"/>
    <w:rsid w:val="000B789E"/>
    <w:rsid w:val="000C0BDA"/>
    <w:rsid w:val="000C0F1C"/>
    <w:rsid w:val="000C135B"/>
    <w:rsid w:val="000C266D"/>
    <w:rsid w:val="000C3CB4"/>
    <w:rsid w:val="000C5624"/>
    <w:rsid w:val="000C6FC2"/>
    <w:rsid w:val="000C7673"/>
    <w:rsid w:val="000C7AC2"/>
    <w:rsid w:val="000C7DB1"/>
    <w:rsid w:val="000D0458"/>
    <w:rsid w:val="000D2FB2"/>
    <w:rsid w:val="000D78D7"/>
    <w:rsid w:val="000E1A8F"/>
    <w:rsid w:val="000E2131"/>
    <w:rsid w:val="000E22A8"/>
    <w:rsid w:val="000E2F47"/>
    <w:rsid w:val="000E30FB"/>
    <w:rsid w:val="000E51ED"/>
    <w:rsid w:val="000E53E5"/>
    <w:rsid w:val="000F00AC"/>
    <w:rsid w:val="000F5851"/>
    <w:rsid w:val="000F65FF"/>
    <w:rsid w:val="000F7189"/>
    <w:rsid w:val="000F7593"/>
    <w:rsid w:val="00100A03"/>
    <w:rsid w:val="00102DF0"/>
    <w:rsid w:val="00103038"/>
    <w:rsid w:val="00104B30"/>
    <w:rsid w:val="00105722"/>
    <w:rsid w:val="00106D7D"/>
    <w:rsid w:val="00107ECA"/>
    <w:rsid w:val="00107FE5"/>
    <w:rsid w:val="001104FE"/>
    <w:rsid w:val="00110A60"/>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1A58"/>
    <w:rsid w:val="0018252E"/>
    <w:rsid w:val="00183760"/>
    <w:rsid w:val="00183F4E"/>
    <w:rsid w:val="00184570"/>
    <w:rsid w:val="00184856"/>
    <w:rsid w:val="00184CF7"/>
    <w:rsid w:val="00185CD0"/>
    <w:rsid w:val="00186BE6"/>
    <w:rsid w:val="00186FD1"/>
    <w:rsid w:val="001874BB"/>
    <w:rsid w:val="0019085C"/>
    <w:rsid w:val="001911B7"/>
    <w:rsid w:val="001921C8"/>
    <w:rsid w:val="001948EA"/>
    <w:rsid w:val="0019585E"/>
    <w:rsid w:val="0019635F"/>
    <w:rsid w:val="00196E51"/>
    <w:rsid w:val="00196E76"/>
    <w:rsid w:val="001A089C"/>
    <w:rsid w:val="001A1A1D"/>
    <w:rsid w:val="001A1B2F"/>
    <w:rsid w:val="001A21B8"/>
    <w:rsid w:val="001A25A2"/>
    <w:rsid w:val="001A25B4"/>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3221"/>
    <w:rsid w:val="001C48D5"/>
    <w:rsid w:val="001C4B78"/>
    <w:rsid w:val="001C5680"/>
    <w:rsid w:val="001C609D"/>
    <w:rsid w:val="001C6420"/>
    <w:rsid w:val="001C7500"/>
    <w:rsid w:val="001D3625"/>
    <w:rsid w:val="001D3A46"/>
    <w:rsid w:val="001D538C"/>
    <w:rsid w:val="001E4803"/>
    <w:rsid w:val="001E4AE4"/>
    <w:rsid w:val="001E51D9"/>
    <w:rsid w:val="001E5C5A"/>
    <w:rsid w:val="001E6E61"/>
    <w:rsid w:val="001E72C2"/>
    <w:rsid w:val="001F0764"/>
    <w:rsid w:val="001F0D48"/>
    <w:rsid w:val="001F0E63"/>
    <w:rsid w:val="001F16CD"/>
    <w:rsid w:val="001F275E"/>
    <w:rsid w:val="001F2CA8"/>
    <w:rsid w:val="001F3D3A"/>
    <w:rsid w:val="001F4DD1"/>
    <w:rsid w:val="001F5F91"/>
    <w:rsid w:val="00200E17"/>
    <w:rsid w:val="00201366"/>
    <w:rsid w:val="00201BC6"/>
    <w:rsid w:val="00201CCB"/>
    <w:rsid w:val="00202153"/>
    <w:rsid w:val="002027E9"/>
    <w:rsid w:val="002040FA"/>
    <w:rsid w:val="002043FB"/>
    <w:rsid w:val="00204578"/>
    <w:rsid w:val="00206E51"/>
    <w:rsid w:val="00207AF0"/>
    <w:rsid w:val="00210FFA"/>
    <w:rsid w:val="00211170"/>
    <w:rsid w:val="00211434"/>
    <w:rsid w:val="00212386"/>
    <w:rsid w:val="00212773"/>
    <w:rsid w:val="002134B9"/>
    <w:rsid w:val="0021665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52D5"/>
    <w:rsid w:val="002564D9"/>
    <w:rsid w:val="00256756"/>
    <w:rsid w:val="002639D3"/>
    <w:rsid w:val="002640DF"/>
    <w:rsid w:val="00265253"/>
    <w:rsid w:val="00265A1F"/>
    <w:rsid w:val="00266995"/>
    <w:rsid w:val="002711F0"/>
    <w:rsid w:val="002713BC"/>
    <w:rsid w:val="0027311A"/>
    <w:rsid w:val="0027744E"/>
    <w:rsid w:val="0028028A"/>
    <w:rsid w:val="00280833"/>
    <w:rsid w:val="00280958"/>
    <w:rsid w:val="00281761"/>
    <w:rsid w:val="0028289B"/>
    <w:rsid w:val="00283C95"/>
    <w:rsid w:val="002863A0"/>
    <w:rsid w:val="00290361"/>
    <w:rsid w:val="00290671"/>
    <w:rsid w:val="0029206B"/>
    <w:rsid w:val="002A0CD9"/>
    <w:rsid w:val="002A1931"/>
    <w:rsid w:val="002A300C"/>
    <w:rsid w:val="002A3801"/>
    <w:rsid w:val="002A4320"/>
    <w:rsid w:val="002A7F9C"/>
    <w:rsid w:val="002B06E0"/>
    <w:rsid w:val="002B37BF"/>
    <w:rsid w:val="002B3C16"/>
    <w:rsid w:val="002B7712"/>
    <w:rsid w:val="002C0660"/>
    <w:rsid w:val="002C0EEF"/>
    <w:rsid w:val="002C187C"/>
    <w:rsid w:val="002C2DE8"/>
    <w:rsid w:val="002C3550"/>
    <w:rsid w:val="002C3F18"/>
    <w:rsid w:val="002C5C0A"/>
    <w:rsid w:val="002D3370"/>
    <w:rsid w:val="002D3A50"/>
    <w:rsid w:val="002D4977"/>
    <w:rsid w:val="002D5A21"/>
    <w:rsid w:val="002D5F25"/>
    <w:rsid w:val="002D6AA1"/>
    <w:rsid w:val="002D741D"/>
    <w:rsid w:val="002D7472"/>
    <w:rsid w:val="002E499D"/>
    <w:rsid w:val="002E4A1B"/>
    <w:rsid w:val="002E591B"/>
    <w:rsid w:val="002F0B5D"/>
    <w:rsid w:val="002F2B0F"/>
    <w:rsid w:val="002F2C19"/>
    <w:rsid w:val="002F5A6E"/>
    <w:rsid w:val="002F5DC3"/>
    <w:rsid w:val="002F79CF"/>
    <w:rsid w:val="00300169"/>
    <w:rsid w:val="00301E3B"/>
    <w:rsid w:val="003033FE"/>
    <w:rsid w:val="0030372B"/>
    <w:rsid w:val="00304D00"/>
    <w:rsid w:val="0030531E"/>
    <w:rsid w:val="003073E7"/>
    <w:rsid w:val="00310746"/>
    <w:rsid w:val="00310EEC"/>
    <w:rsid w:val="00310FAB"/>
    <w:rsid w:val="00314D50"/>
    <w:rsid w:val="003218FF"/>
    <w:rsid w:val="0032395B"/>
    <w:rsid w:val="00323D27"/>
    <w:rsid w:val="00323E97"/>
    <w:rsid w:val="00324CC1"/>
    <w:rsid w:val="003253FC"/>
    <w:rsid w:val="00331329"/>
    <w:rsid w:val="00331E3C"/>
    <w:rsid w:val="00333E13"/>
    <w:rsid w:val="003340C1"/>
    <w:rsid w:val="00336B6D"/>
    <w:rsid w:val="00336D98"/>
    <w:rsid w:val="00337065"/>
    <w:rsid w:val="00341194"/>
    <w:rsid w:val="00341C3A"/>
    <w:rsid w:val="003433E2"/>
    <w:rsid w:val="003460CF"/>
    <w:rsid w:val="003463A8"/>
    <w:rsid w:val="003466C2"/>
    <w:rsid w:val="003505AC"/>
    <w:rsid w:val="00352469"/>
    <w:rsid w:val="0035315D"/>
    <w:rsid w:val="00360F75"/>
    <w:rsid w:val="00367CEA"/>
    <w:rsid w:val="003718ED"/>
    <w:rsid w:val="003737FA"/>
    <w:rsid w:val="00376CC7"/>
    <w:rsid w:val="003859A5"/>
    <w:rsid w:val="00385ECD"/>
    <w:rsid w:val="00387846"/>
    <w:rsid w:val="00387AE2"/>
    <w:rsid w:val="003908BB"/>
    <w:rsid w:val="0039112B"/>
    <w:rsid w:val="00391280"/>
    <w:rsid w:val="00391526"/>
    <w:rsid w:val="00391F4C"/>
    <w:rsid w:val="003938B4"/>
    <w:rsid w:val="00396C38"/>
    <w:rsid w:val="00396E49"/>
    <w:rsid w:val="003A1404"/>
    <w:rsid w:val="003A28B3"/>
    <w:rsid w:val="003A3791"/>
    <w:rsid w:val="003A3B60"/>
    <w:rsid w:val="003A3F12"/>
    <w:rsid w:val="003A4C0C"/>
    <w:rsid w:val="003A4D44"/>
    <w:rsid w:val="003A7216"/>
    <w:rsid w:val="003B21D2"/>
    <w:rsid w:val="003B27D8"/>
    <w:rsid w:val="003B2EAE"/>
    <w:rsid w:val="003B4E18"/>
    <w:rsid w:val="003B6B60"/>
    <w:rsid w:val="003B71F0"/>
    <w:rsid w:val="003B781E"/>
    <w:rsid w:val="003C0BD3"/>
    <w:rsid w:val="003C1FCF"/>
    <w:rsid w:val="003C6CC4"/>
    <w:rsid w:val="003C7261"/>
    <w:rsid w:val="003C7BBC"/>
    <w:rsid w:val="003D2BDB"/>
    <w:rsid w:val="003D2C9D"/>
    <w:rsid w:val="003D451D"/>
    <w:rsid w:val="003D5413"/>
    <w:rsid w:val="003D72A5"/>
    <w:rsid w:val="003D77F7"/>
    <w:rsid w:val="003E16B8"/>
    <w:rsid w:val="003E1F6F"/>
    <w:rsid w:val="003F0E93"/>
    <w:rsid w:val="003F2072"/>
    <w:rsid w:val="003F2170"/>
    <w:rsid w:val="003F42E0"/>
    <w:rsid w:val="003F62CC"/>
    <w:rsid w:val="003F6B1E"/>
    <w:rsid w:val="003F7E6A"/>
    <w:rsid w:val="00400B53"/>
    <w:rsid w:val="00401050"/>
    <w:rsid w:val="004011AE"/>
    <w:rsid w:val="004052C2"/>
    <w:rsid w:val="0040752E"/>
    <w:rsid w:val="0041224F"/>
    <w:rsid w:val="0041280B"/>
    <w:rsid w:val="00414408"/>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9D5"/>
    <w:rsid w:val="00454CA6"/>
    <w:rsid w:val="00455AEE"/>
    <w:rsid w:val="0045600B"/>
    <w:rsid w:val="00461F0D"/>
    <w:rsid w:val="00462761"/>
    <w:rsid w:val="00463250"/>
    <w:rsid w:val="00463760"/>
    <w:rsid w:val="00464E53"/>
    <w:rsid w:val="00466BAD"/>
    <w:rsid w:val="00470266"/>
    <w:rsid w:val="00470F9A"/>
    <w:rsid w:val="00472DD5"/>
    <w:rsid w:val="004734E1"/>
    <w:rsid w:val="00474807"/>
    <w:rsid w:val="00474D8D"/>
    <w:rsid w:val="00475DDA"/>
    <w:rsid w:val="004809A1"/>
    <w:rsid w:val="00481BD9"/>
    <w:rsid w:val="004821A2"/>
    <w:rsid w:val="00482AF7"/>
    <w:rsid w:val="0048364B"/>
    <w:rsid w:val="00485F61"/>
    <w:rsid w:val="004906A3"/>
    <w:rsid w:val="00490A93"/>
    <w:rsid w:val="00490CFA"/>
    <w:rsid w:val="0049408D"/>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1B7"/>
    <w:rsid w:val="004C3EAB"/>
    <w:rsid w:val="004C42B1"/>
    <w:rsid w:val="004C5DAF"/>
    <w:rsid w:val="004C7045"/>
    <w:rsid w:val="004C7848"/>
    <w:rsid w:val="004D070D"/>
    <w:rsid w:val="004D1821"/>
    <w:rsid w:val="004D3B59"/>
    <w:rsid w:val="004D6BCF"/>
    <w:rsid w:val="004D6F96"/>
    <w:rsid w:val="004E027B"/>
    <w:rsid w:val="004E107D"/>
    <w:rsid w:val="004E174B"/>
    <w:rsid w:val="004E4F58"/>
    <w:rsid w:val="004E59E3"/>
    <w:rsid w:val="004E6F6E"/>
    <w:rsid w:val="004E72E5"/>
    <w:rsid w:val="004E79C5"/>
    <w:rsid w:val="004E7A23"/>
    <w:rsid w:val="004F110C"/>
    <w:rsid w:val="004F14E2"/>
    <w:rsid w:val="004F3C5B"/>
    <w:rsid w:val="004F460C"/>
    <w:rsid w:val="004F6273"/>
    <w:rsid w:val="004F7C63"/>
    <w:rsid w:val="0050129F"/>
    <w:rsid w:val="0050331B"/>
    <w:rsid w:val="00504880"/>
    <w:rsid w:val="00507B11"/>
    <w:rsid w:val="00510B7F"/>
    <w:rsid w:val="005119D3"/>
    <w:rsid w:val="005132D6"/>
    <w:rsid w:val="0051425D"/>
    <w:rsid w:val="00514B5B"/>
    <w:rsid w:val="005156F8"/>
    <w:rsid w:val="00515D85"/>
    <w:rsid w:val="00516EFF"/>
    <w:rsid w:val="005179B3"/>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6F87"/>
    <w:rsid w:val="005673E6"/>
    <w:rsid w:val="00567A5E"/>
    <w:rsid w:val="0057111F"/>
    <w:rsid w:val="005729E0"/>
    <w:rsid w:val="0057380D"/>
    <w:rsid w:val="00574807"/>
    <w:rsid w:val="00575900"/>
    <w:rsid w:val="00575FB5"/>
    <w:rsid w:val="00580371"/>
    <w:rsid w:val="00580D31"/>
    <w:rsid w:val="00580FCA"/>
    <w:rsid w:val="00581FEC"/>
    <w:rsid w:val="00582EF8"/>
    <w:rsid w:val="0058402A"/>
    <w:rsid w:val="00586CF9"/>
    <w:rsid w:val="00590BBB"/>
    <w:rsid w:val="005943A1"/>
    <w:rsid w:val="0059634F"/>
    <w:rsid w:val="00596583"/>
    <w:rsid w:val="0059714C"/>
    <w:rsid w:val="005975EF"/>
    <w:rsid w:val="00597AC8"/>
    <w:rsid w:val="005A269B"/>
    <w:rsid w:val="005A2BBD"/>
    <w:rsid w:val="005A3232"/>
    <w:rsid w:val="005A3E2E"/>
    <w:rsid w:val="005A53EA"/>
    <w:rsid w:val="005A6362"/>
    <w:rsid w:val="005A7929"/>
    <w:rsid w:val="005B18C2"/>
    <w:rsid w:val="005B502F"/>
    <w:rsid w:val="005B7B5F"/>
    <w:rsid w:val="005C0F7E"/>
    <w:rsid w:val="005C1C03"/>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270E7"/>
    <w:rsid w:val="00634EDD"/>
    <w:rsid w:val="00635BDC"/>
    <w:rsid w:val="006366E2"/>
    <w:rsid w:val="00636E55"/>
    <w:rsid w:val="00637534"/>
    <w:rsid w:val="00637783"/>
    <w:rsid w:val="00641983"/>
    <w:rsid w:val="00645D4F"/>
    <w:rsid w:val="00647B78"/>
    <w:rsid w:val="00650D03"/>
    <w:rsid w:val="0065147E"/>
    <w:rsid w:val="00651F71"/>
    <w:rsid w:val="006536ED"/>
    <w:rsid w:val="00654363"/>
    <w:rsid w:val="00654602"/>
    <w:rsid w:val="00654ED8"/>
    <w:rsid w:val="00655159"/>
    <w:rsid w:val="006557B2"/>
    <w:rsid w:val="00657350"/>
    <w:rsid w:val="00660615"/>
    <w:rsid w:val="006607A2"/>
    <w:rsid w:val="00661050"/>
    <w:rsid w:val="00663A8B"/>
    <w:rsid w:val="006647DC"/>
    <w:rsid w:val="006708E6"/>
    <w:rsid w:val="00671B08"/>
    <w:rsid w:val="00672A0C"/>
    <w:rsid w:val="0067331E"/>
    <w:rsid w:val="00673C57"/>
    <w:rsid w:val="00674189"/>
    <w:rsid w:val="00675966"/>
    <w:rsid w:val="00677915"/>
    <w:rsid w:val="0068054A"/>
    <w:rsid w:val="006819DC"/>
    <w:rsid w:val="00684EB9"/>
    <w:rsid w:val="006858F0"/>
    <w:rsid w:val="00692B32"/>
    <w:rsid w:val="00694A82"/>
    <w:rsid w:val="006954F5"/>
    <w:rsid w:val="006957D2"/>
    <w:rsid w:val="00696995"/>
    <w:rsid w:val="00697216"/>
    <w:rsid w:val="0069798B"/>
    <w:rsid w:val="006A1401"/>
    <w:rsid w:val="006A2240"/>
    <w:rsid w:val="006A3B5D"/>
    <w:rsid w:val="006A3D56"/>
    <w:rsid w:val="006A43D9"/>
    <w:rsid w:val="006A4B9A"/>
    <w:rsid w:val="006A7021"/>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E5586"/>
    <w:rsid w:val="006E55ED"/>
    <w:rsid w:val="006E67B6"/>
    <w:rsid w:val="006E7B68"/>
    <w:rsid w:val="006F3F0A"/>
    <w:rsid w:val="006F5E55"/>
    <w:rsid w:val="00700A55"/>
    <w:rsid w:val="00700CF4"/>
    <w:rsid w:val="007062B4"/>
    <w:rsid w:val="0070719B"/>
    <w:rsid w:val="00723D63"/>
    <w:rsid w:val="00724751"/>
    <w:rsid w:val="0072583F"/>
    <w:rsid w:val="00727F50"/>
    <w:rsid w:val="0073145F"/>
    <w:rsid w:val="007320AC"/>
    <w:rsid w:val="00733DB3"/>
    <w:rsid w:val="00737236"/>
    <w:rsid w:val="007406C0"/>
    <w:rsid w:val="00742360"/>
    <w:rsid w:val="00743CCC"/>
    <w:rsid w:val="007455C4"/>
    <w:rsid w:val="0074669D"/>
    <w:rsid w:val="00747D66"/>
    <w:rsid w:val="007513D7"/>
    <w:rsid w:val="007561CE"/>
    <w:rsid w:val="00756C70"/>
    <w:rsid w:val="007602FD"/>
    <w:rsid w:val="007608A3"/>
    <w:rsid w:val="0076249E"/>
    <w:rsid w:val="00762F51"/>
    <w:rsid w:val="00763B25"/>
    <w:rsid w:val="00765BD1"/>
    <w:rsid w:val="007735C6"/>
    <w:rsid w:val="00774D43"/>
    <w:rsid w:val="00775A4C"/>
    <w:rsid w:val="007762F1"/>
    <w:rsid w:val="007767C2"/>
    <w:rsid w:val="00777A41"/>
    <w:rsid w:val="007811D0"/>
    <w:rsid w:val="007829C0"/>
    <w:rsid w:val="0078512B"/>
    <w:rsid w:val="0078704E"/>
    <w:rsid w:val="00787A29"/>
    <w:rsid w:val="00787C8F"/>
    <w:rsid w:val="00792629"/>
    <w:rsid w:val="0079445E"/>
    <w:rsid w:val="00794F42"/>
    <w:rsid w:val="007A0682"/>
    <w:rsid w:val="007A0D09"/>
    <w:rsid w:val="007A2410"/>
    <w:rsid w:val="007A2DFC"/>
    <w:rsid w:val="007A5029"/>
    <w:rsid w:val="007A770F"/>
    <w:rsid w:val="007A7B37"/>
    <w:rsid w:val="007A7F90"/>
    <w:rsid w:val="007B07E6"/>
    <w:rsid w:val="007B0B27"/>
    <w:rsid w:val="007B0FF9"/>
    <w:rsid w:val="007B16A7"/>
    <w:rsid w:val="007B5D15"/>
    <w:rsid w:val="007B7C41"/>
    <w:rsid w:val="007C0843"/>
    <w:rsid w:val="007C1194"/>
    <w:rsid w:val="007C12BD"/>
    <w:rsid w:val="007C1422"/>
    <w:rsid w:val="007C2281"/>
    <w:rsid w:val="007C4AF5"/>
    <w:rsid w:val="007C5981"/>
    <w:rsid w:val="007C7522"/>
    <w:rsid w:val="007D0F2D"/>
    <w:rsid w:val="007D13E0"/>
    <w:rsid w:val="007D3447"/>
    <w:rsid w:val="007D42A5"/>
    <w:rsid w:val="007D4E44"/>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4ECD"/>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4E25"/>
    <w:rsid w:val="00825857"/>
    <w:rsid w:val="00825DD9"/>
    <w:rsid w:val="00831366"/>
    <w:rsid w:val="008328E6"/>
    <w:rsid w:val="0083417F"/>
    <w:rsid w:val="008347EA"/>
    <w:rsid w:val="008352D9"/>
    <w:rsid w:val="00835B44"/>
    <w:rsid w:val="0083618E"/>
    <w:rsid w:val="00836209"/>
    <w:rsid w:val="00840168"/>
    <w:rsid w:val="00840715"/>
    <w:rsid w:val="00841067"/>
    <w:rsid w:val="00845503"/>
    <w:rsid w:val="00847BAF"/>
    <w:rsid w:val="00847E79"/>
    <w:rsid w:val="00851E83"/>
    <w:rsid w:val="00855A6C"/>
    <w:rsid w:val="008605D6"/>
    <w:rsid w:val="008609BE"/>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54F7"/>
    <w:rsid w:val="008B7AE9"/>
    <w:rsid w:val="008C2F79"/>
    <w:rsid w:val="008C3FCF"/>
    <w:rsid w:val="008C4B57"/>
    <w:rsid w:val="008C56CF"/>
    <w:rsid w:val="008D1559"/>
    <w:rsid w:val="008D16E9"/>
    <w:rsid w:val="008D318B"/>
    <w:rsid w:val="008D5997"/>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49CB"/>
    <w:rsid w:val="00905256"/>
    <w:rsid w:val="0090649E"/>
    <w:rsid w:val="009072C3"/>
    <w:rsid w:val="009077FD"/>
    <w:rsid w:val="00907C9D"/>
    <w:rsid w:val="009100C7"/>
    <w:rsid w:val="00911BC0"/>
    <w:rsid w:val="00911C2E"/>
    <w:rsid w:val="0091267D"/>
    <w:rsid w:val="00912FCC"/>
    <w:rsid w:val="00917A5B"/>
    <w:rsid w:val="0092121E"/>
    <w:rsid w:val="009240F1"/>
    <w:rsid w:val="009248DA"/>
    <w:rsid w:val="00925A8A"/>
    <w:rsid w:val="009277E6"/>
    <w:rsid w:val="00931402"/>
    <w:rsid w:val="0093172D"/>
    <w:rsid w:val="00934D7E"/>
    <w:rsid w:val="00935974"/>
    <w:rsid w:val="0093651B"/>
    <w:rsid w:val="009372CA"/>
    <w:rsid w:val="0093784A"/>
    <w:rsid w:val="00940342"/>
    <w:rsid w:val="00941745"/>
    <w:rsid w:val="00942DC2"/>
    <w:rsid w:val="0094327F"/>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5D2A"/>
    <w:rsid w:val="009960AB"/>
    <w:rsid w:val="00996D61"/>
    <w:rsid w:val="0099732F"/>
    <w:rsid w:val="009A0349"/>
    <w:rsid w:val="009A0E71"/>
    <w:rsid w:val="009A2DD5"/>
    <w:rsid w:val="009A321C"/>
    <w:rsid w:val="009A32AC"/>
    <w:rsid w:val="009A393B"/>
    <w:rsid w:val="009A3D43"/>
    <w:rsid w:val="009B30B5"/>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5F1"/>
    <w:rsid w:val="00A01A4E"/>
    <w:rsid w:val="00A0207E"/>
    <w:rsid w:val="00A0308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75F"/>
    <w:rsid w:val="00A548BA"/>
    <w:rsid w:val="00A54975"/>
    <w:rsid w:val="00A55365"/>
    <w:rsid w:val="00A55773"/>
    <w:rsid w:val="00A60F82"/>
    <w:rsid w:val="00A62B58"/>
    <w:rsid w:val="00A63DE0"/>
    <w:rsid w:val="00A63F42"/>
    <w:rsid w:val="00A659F5"/>
    <w:rsid w:val="00A663BB"/>
    <w:rsid w:val="00A663C4"/>
    <w:rsid w:val="00A7160F"/>
    <w:rsid w:val="00A7225C"/>
    <w:rsid w:val="00A75E0A"/>
    <w:rsid w:val="00A77B12"/>
    <w:rsid w:val="00A77D26"/>
    <w:rsid w:val="00A80B08"/>
    <w:rsid w:val="00A81050"/>
    <w:rsid w:val="00A81607"/>
    <w:rsid w:val="00A847F2"/>
    <w:rsid w:val="00A8600E"/>
    <w:rsid w:val="00A861A4"/>
    <w:rsid w:val="00A874E9"/>
    <w:rsid w:val="00A9118F"/>
    <w:rsid w:val="00A91CCA"/>
    <w:rsid w:val="00A92F4E"/>
    <w:rsid w:val="00A951F4"/>
    <w:rsid w:val="00A97ACA"/>
    <w:rsid w:val="00AA5E51"/>
    <w:rsid w:val="00AA6F0E"/>
    <w:rsid w:val="00AB3CCD"/>
    <w:rsid w:val="00AB4424"/>
    <w:rsid w:val="00AB630B"/>
    <w:rsid w:val="00AC00CD"/>
    <w:rsid w:val="00AC0A05"/>
    <w:rsid w:val="00AC2177"/>
    <w:rsid w:val="00AC2B9F"/>
    <w:rsid w:val="00AC2CEC"/>
    <w:rsid w:val="00AC3234"/>
    <w:rsid w:val="00AC35B9"/>
    <w:rsid w:val="00AC4468"/>
    <w:rsid w:val="00AD1045"/>
    <w:rsid w:val="00AD166A"/>
    <w:rsid w:val="00AD2D47"/>
    <w:rsid w:val="00AD30AA"/>
    <w:rsid w:val="00AD43F8"/>
    <w:rsid w:val="00AD5BF3"/>
    <w:rsid w:val="00AD64C4"/>
    <w:rsid w:val="00AE0762"/>
    <w:rsid w:val="00AE10E0"/>
    <w:rsid w:val="00AE38E9"/>
    <w:rsid w:val="00AE7BEF"/>
    <w:rsid w:val="00AE7C15"/>
    <w:rsid w:val="00AE7E12"/>
    <w:rsid w:val="00AE7F2E"/>
    <w:rsid w:val="00AF0E65"/>
    <w:rsid w:val="00AF1EB2"/>
    <w:rsid w:val="00AF1F6A"/>
    <w:rsid w:val="00AF3015"/>
    <w:rsid w:val="00AF5FD4"/>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25C4"/>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B5B"/>
    <w:rsid w:val="00B75D9C"/>
    <w:rsid w:val="00B77828"/>
    <w:rsid w:val="00B77F73"/>
    <w:rsid w:val="00B8156B"/>
    <w:rsid w:val="00B8213E"/>
    <w:rsid w:val="00B84CB8"/>
    <w:rsid w:val="00B86D4D"/>
    <w:rsid w:val="00B87FF2"/>
    <w:rsid w:val="00B9011D"/>
    <w:rsid w:val="00B92BA5"/>
    <w:rsid w:val="00B95E7F"/>
    <w:rsid w:val="00B96310"/>
    <w:rsid w:val="00BA09E4"/>
    <w:rsid w:val="00BA0D01"/>
    <w:rsid w:val="00BA122C"/>
    <w:rsid w:val="00BA5025"/>
    <w:rsid w:val="00BA5999"/>
    <w:rsid w:val="00BA64F5"/>
    <w:rsid w:val="00BA6582"/>
    <w:rsid w:val="00BA6739"/>
    <w:rsid w:val="00BA6A31"/>
    <w:rsid w:val="00BB1786"/>
    <w:rsid w:val="00BB506E"/>
    <w:rsid w:val="00BC1C8F"/>
    <w:rsid w:val="00BC2430"/>
    <w:rsid w:val="00BC4657"/>
    <w:rsid w:val="00BD0B4D"/>
    <w:rsid w:val="00BD1EBA"/>
    <w:rsid w:val="00BD2CD1"/>
    <w:rsid w:val="00BD3550"/>
    <w:rsid w:val="00BD42AB"/>
    <w:rsid w:val="00BD6108"/>
    <w:rsid w:val="00BD7E1A"/>
    <w:rsid w:val="00BE00A1"/>
    <w:rsid w:val="00BE0B13"/>
    <w:rsid w:val="00BE105D"/>
    <w:rsid w:val="00BE10CF"/>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053E"/>
    <w:rsid w:val="00C1110F"/>
    <w:rsid w:val="00C111A6"/>
    <w:rsid w:val="00C1792A"/>
    <w:rsid w:val="00C21C36"/>
    <w:rsid w:val="00C2217B"/>
    <w:rsid w:val="00C226FB"/>
    <w:rsid w:val="00C22838"/>
    <w:rsid w:val="00C23061"/>
    <w:rsid w:val="00C23A7D"/>
    <w:rsid w:val="00C274D0"/>
    <w:rsid w:val="00C31B2C"/>
    <w:rsid w:val="00C3340A"/>
    <w:rsid w:val="00C371B8"/>
    <w:rsid w:val="00C3771A"/>
    <w:rsid w:val="00C44067"/>
    <w:rsid w:val="00C44939"/>
    <w:rsid w:val="00C45A15"/>
    <w:rsid w:val="00C46A0D"/>
    <w:rsid w:val="00C50891"/>
    <w:rsid w:val="00C52A4D"/>
    <w:rsid w:val="00C5322C"/>
    <w:rsid w:val="00C54296"/>
    <w:rsid w:val="00C56EFF"/>
    <w:rsid w:val="00C5732D"/>
    <w:rsid w:val="00C61823"/>
    <w:rsid w:val="00C61E09"/>
    <w:rsid w:val="00C621D7"/>
    <w:rsid w:val="00C63495"/>
    <w:rsid w:val="00C63A3B"/>
    <w:rsid w:val="00C641B3"/>
    <w:rsid w:val="00C64697"/>
    <w:rsid w:val="00C6585C"/>
    <w:rsid w:val="00C65AA7"/>
    <w:rsid w:val="00C70EAB"/>
    <w:rsid w:val="00C71048"/>
    <w:rsid w:val="00C71E86"/>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96A90"/>
    <w:rsid w:val="00CA04CB"/>
    <w:rsid w:val="00CA2A72"/>
    <w:rsid w:val="00CA6CF3"/>
    <w:rsid w:val="00CA7B2E"/>
    <w:rsid w:val="00CB038C"/>
    <w:rsid w:val="00CB0D7E"/>
    <w:rsid w:val="00CB0FEC"/>
    <w:rsid w:val="00CB5591"/>
    <w:rsid w:val="00CB58B9"/>
    <w:rsid w:val="00CB63A8"/>
    <w:rsid w:val="00CB71DA"/>
    <w:rsid w:val="00CC7773"/>
    <w:rsid w:val="00CD1142"/>
    <w:rsid w:val="00CD20B0"/>
    <w:rsid w:val="00CD3FE3"/>
    <w:rsid w:val="00CD4119"/>
    <w:rsid w:val="00CD5090"/>
    <w:rsid w:val="00CD704F"/>
    <w:rsid w:val="00CE00D7"/>
    <w:rsid w:val="00CE0746"/>
    <w:rsid w:val="00CE1096"/>
    <w:rsid w:val="00CE1A5D"/>
    <w:rsid w:val="00CE2F2C"/>
    <w:rsid w:val="00CE6461"/>
    <w:rsid w:val="00CE7461"/>
    <w:rsid w:val="00CF1423"/>
    <w:rsid w:val="00CF5B3E"/>
    <w:rsid w:val="00CF652C"/>
    <w:rsid w:val="00CF68D3"/>
    <w:rsid w:val="00CF6B81"/>
    <w:rsid w:val="00CF6DB9"/>
    <w:rsid w:val="00CF6EF0"/>
    <w:rsid w:val="00CF7FBA"/>
    <w:rsid w:val="00CF7FC4"/>
    <w:rsid w:val="00D01A59"/>
    <w:rsid w:val="00D01E72"/>
    <w:rsid w:val="00D027FA"/>
    <w:rsid w:val="00D02A7E"/>
    <w:rsid w:val="00D032B8"/>
    <w:rsid w:val="00D04868"/>
    <w:rsid w:val="00D05FFD"/>
    <w:rsid w:val="00D064FA"/>
    <w:rsid w:val="00D11332"/>
    <w:rsid w:val="00D12B68"/>
    <w:rsid w:val="00D151E3"/>
    <w:rsid w:val="00D3093C"/>
    <w:rsid w:val="00D30CC4"/>
    <w:rsid w:val="00D3118C"/>
    <w:rsid w:val="00D32A7A"/>
    <w:rsid w:val="00D33451"/>
    <w:rsid w:val="00D33983"/>
    <w:rsid w:val="00D35B1C"/>
    <w:rsid w:val="00D36635"/>
    <w:rsid w:val="00D36DAD"/>
    <w:rsid w:val="00D37213"/>
    <w:rsid w:val="00D43E17"/>
    <w:rsid w:val="00D43F96"/>
    <w:rsid w:val="00D45F64"/>
    <w:rsid w:val="00D46B4E"/>
    <w:rsid w:val="00D471F8"/>
    <w:rsid w:val="00D51781"/>
    <w:rsid w:val="00D52E86"/>
    <w:rsid w:val="00D54A17"/>
    <w:rsid w:val="00D5641B"/>
    <w:rsid w:val="00D569DC"/>
    <w:rsid w:val="00D6169E"/>
    <w:rsid w:val="00D623B1"/>
    <w:rsid w:val="00D647B2"/>
    <w:rsid w:val="00D6748F"/>
    <w:rsid w:val="00D679D8"/>
    <w:rsid w:val="00D7101A"/>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8763C"/>
    <w:rsid w:val="00D94399"/>
    <w:rsid w:val="00D94629"/>
    <w:rsid w:val="00D9584D"/>
    <w:rsid w:val="00D95AE1"/>
    <w:rsid w:val="00D96939"/>
    <w:rsid w:val="00D96C93"/>
    <w:rsid w:val="00DA0E3B"/>
    <w:rsid w:val="00DA2587"/>
    <w:rsid w:val="00DA27AE"/>
    <w:rsid w:val="00DA29F7"/>
    <w:rsid w:val="00DA3AA4"/>
    <w:rsid w:val="00DA7263"/>
    <w:rsid w:val="00DA7D81"/>
    <w:rsid w:val="00DB1873"/>
    <w:rsid w:val="00DB6B56"/>
    <w:rsid w:val="00DB7051"/>
    <w:rsid w:val="00DB7780"/>
    <w:rsid w:val="00DB7981"/>
    <w:rsid w:val="00DC1A3B"/>
    <w:rsid w:val="00DC7838"/>
    <w:rsid w:val="00DD51D8"/>
    <w:rsid w:val="00DD667E"/>
    <w:rsid w:val="00DD698D"/>
    <w:rsid w:val="00DE032F"/>
    <w:rsid w:val="00DE08B0"/>
    <w:rsid w:val="00DE1E19"/>
    <w:rsid w:val="00DE265D"/>
    <w:rsid w:val="00DE5C5A"/>
    <w:rsid w:val="00DE5CD8"/>
    <w:rsid w:val="00DF0257"/>
    <w:rsid w:val="00DF2660"/>
    <w:rsid w:val="00DF39CD"/>
    <w:rsid w:val="00DF509B"/>
    <w:rsid w:val="00DF5793"/>
    <w:rsid w:val="00DF738E"/>
    <w:rsid w:val="00DF78A9"/>
    <w:rsid w:val="00DF7B8F"/>
    <w:rsid w:val="00DF7CE0"/>
    <w:rsid w:val="00E00844"/>
    <w:rsid w:val="00E026CF"/>
    <w:rsid w:val="00E02E64"/>
    <w:rsid w:val="00E05439"/>
    <w:rsid w:val="00E05A67"/>
    <w:rsid w:val="00E06BF6"/>
    <w:rsid w:val="00E073B0"/>
    <w:rsid w:val="00E079EA"/>
    <w:rsid w:val="00E100B3"/>
    <w:rsid w:val="00E102C0"/>
    <w:rsid w:val="00E10FDA"/>
    <w:rsid w:val="00E113E8"/>
    <w:rsid w:val="00E1276C"/>
    <w:rsid w:val="00E13C54"/>
    <w:rsid w:val="00E13DBF"/>
    <w:rsid w:val="00E15EBF"/>
    <w:rsid w:val="00E1613A"/>
    <w:rsid w:val="00E17509"/>
    <w:rsid w:val="00E175B7"/>
    <w:rsid w:val="00E2206F"/>
    <w:rsid w:val="00E23B6C"/>
    <w:rsid w:val="00E267A9"/>
    <w:rsid w:val="00E269EC"/>
    <w:rsid w:val="00E30551"/>
    <w:rsid w:val="00E33DB2"/>
    <w:rsid w:val="00E33E9F"/>
    <w:rsid w:val="00E360BE"/>
    <w:rsid w:val="00E36739"/>
    <w:rsid w:val="00E37DF8"/>
    <w:rsid w:val="00E402DD"/>
    <w:rsid w:val="00E41AAB"/>
    <w:rsid w:val="00E422AF"/>
    <w:rsid w:val="00E43062"/>
    <w:rsid w:val="00E44451"/>
    <w:rsid w:val="00E46518"/>
    <w:rsid w:val="00E4662E"/>
    <w:rsid w:val="00E46665"/>
    <w:rsid w:val="00E538BB"/>
    <w:rsid w:val="00E53A6F"/>
    <w:rsid w:val="00E544E6"/>
    <w:rsid w:val="00E578DF"/>
    <w:rsid w:val="00E609EA"/>
    <w:rsid w:val="00E60A40"/>
    <w:rsid w:val="00E6201D"/>
    <w:rsid w:val="00E62196"/>
    <w:rsid w:val="00E62419"/>
    <w:rsid w:val="00E63BD9"/>
    <w:rsid w:val="00E652AB"/>
    <w:rsid w:val="00E65F3A"/>
    <w:rsid w:val="00E66467"/>
    <w:rsid w:val="00E70126"/>
    <w:rsid w:val="00E71383"/>
    <w:rsid w:val="00E7200C"/>
    <w:rsid w:val="00E725F0"/>
    <w:rsid w:val="00E73436"/>
    <w:rsid w:val="00E73C22"/>
    <w:rsid w:val="00E73FFD"/>
    <w:rsid w:val="00E766A0"/>
    <w:rsid w:val="00E8178B"/>
    <w:rsid w:val="00E8783E"/>
    <w:rsid w:val="00E90C34"/>
    <w:rsid w:val="00E96899"/>
    <w:rsid w:val="00E97039"/>
    <w:rsid w:val="00EA4935"/>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D664F"/>
    <w:rsid w:val="00EE251F"/>
    <w:rsid w:val="00EE4FF9"/>
    <w:rsid w:val="00EE6935"/>
    <w:rsid w:val="00EF08D9"/>
    <w:rsid w:val="00EF0E81"/>
    <w:rsid w:val="00EF17A7"/>
    <w:rsid w:val="00EF3779"/>
    <w:rsid w:val="00EF57C0"/>
    <w:rsid w:val="00EF6DA0"/>
    <w:rsid w:val="00F05C46"/>
    <w:rsid w:val="00F06039"/>
    <w:rsid w:val="00F07C64"/>
    <w:rsid w:val="00F11F2B"/>
    <w:rsid w:val="00F15D35"/>
    <w:rsid w:val="00F167D9"/>
    <w:rsid w:val="00F17998"/>
    <w:rsid w:val="00F20C48"/>
    <w:rsid w:val="00F22F9D"/>
    <w:rsid w:val="00F2340F"/>
    <w:rsid w:val="00F249A1"/>
    <w:rsid w:val="00F24E74"/>
    <w:rsid w:val="00F25582"/>
    <w:rsid w:val="00F26CAB"/>
    <w:rsid w:val="00F2733E"/>
    <w:rsid w:val="00F30102"/>
    <w:rsid w:val="00F30417"/>
    <w:rsid w:val="00F30971"/>
    <w:rsid w:val="00F30A01"/>
    <w:rsid w:val="00F32E9D"/>
    <w:rsid w:val="00F33C07"/>
    <w:rsid w:val="00F33DBC"/>
    <w:rsid w:val="00F34071"/>
    <w:rsid w:val="00F35470"/>
    <w:rsid w:val="00F4026F"/>
    <w:rsid w:val="00F42026"/>
    <w:rsid w:val="00F43BFD"/>
    <w:rsid w:val="00F46736"/>
    <w:rsid w:val="00F46DA7"/>
    <w:rsid w:val="00F47209"/>
    <w:rsid w:val="00F47595"/>
    <w:rsid w:val="00F47DEF"/>
    <w:rsid w:val="00F532CF"/>
    <w:rsid w:val="00F539A3"/>
    <w:rsid w:val="00F53BDF"/>
    <w:rsid w:val="00F54E6C"/>
    <w:rsid w:val="00F55C0A"/>
    <w:rsid w:val="00F56BEC"/>
    <w:rsid w:val="00F60346"/>
    <w:rsid w:val="00F60D4C"/>
    <w:rsid w:val="00F60F7D"/>
    <w:rsid w:val="00F60FE9"/>
    <w:rsid w:val="00F62FBD"/>
    <w:rsid w:val="00F67449"/>
    <w:rsid w:val="00F6763D"/>
    <w:rsid w:val="00F720CA"/>
    <w:rsid w:val="00F8065B"/>
    <w:rsid w:val="00F8300F"/>
    <w:rsid w:val="00F84D5A"/>
    <w:rsid w:val="00F851DD"/>
    <w:rsid w:val="00F8609C"/>
    <w:rsid w:val="00F87848"/>
    <w:rsid w:val="00F91DC5"/>
    <w:rsid w:val="00F93B09"/>
    <w:rsid w:val="00F9427E"/>
    <w:rsid w:val="00F9466C"/>
    <w:rsid w:val="00F94850"/>
    <w:rsid w:val="00F972CB"/>
    <w:rsid w:val="00FA3476"/>
    <w:rsid w:val="00FA4932"/>
    <w:rsid w:val="00FA4E61"/>
    <w:rsid w:val="00FA6501"/>
    <w:rsid w:val="00FA6F22"/>
    <w:rsid w:val="00FB0E18"/>
    <w:rsid w:val="00FB1218"/>
    <w:rsid w:val="00FB14C2"/>
    <w:rsid w:val="00FB5852"/>
    <w:rsid w:val="00FB6B81"/>
    <w:rsid w:val="00FB7C3E"/>
    <w:rsid w:val="00FC16DA"/>
    <w:rsid w:val="00FC6456"/>
    <w:rsid w:val="00FC75FC"/>
    <w:rsid w:val="00FC7D52"/>
    <w:rsid w:val="00FD0799"/>
    <w:rsid w:val="00FD4091"/>
    <w:rsid w:val="00FD76F5"/>
    <w:rsid w:val="00FE0EED"/>
    <w:rsid w:val="00FE311D"/>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48C21"/>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rPr>
      <w:lang w:val="x-none" w:eastAsia="x-none"/>
    </w:r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 w:type="paragraph" w:styleId="BodyText">
    <w:name w:val="Body Text"/>
    <w:basedOn w:val="Normal"/>
    <w:link w:val="BodyTextChar"/>
    <w:uiPriority w:val="1"/>
    <w:qFormat/>
    <w:rsid w:val="00301E3B"/>
    <w:pPr>
      <w:widowControl w:val="0"/>
      <w:ind w:left="140"/>
    </w:pPr>
    <w:rPr>
      <w:rFonts w:cstheme="minorBidi"/>
    </w:rPr>
  </w:style>
  <w:style w:type="character" w:customStyle="1" w:styleId="BodyTextChar">
    <w:name w:val="Body Text Char"/>
    <w:basedOn w:val="DefaultParagraphFont"/>
    <w:link w:val="BodyText"/>
    <w:uiPriority w:val="1"/>
    <w:rsid w:val="00301E3B"/>
    <w:rPr>
      <w:rFonts w:cstheme="minorBidi"/>
      <w:sz w:val="24"/>
      <w:szCs w:val="24"/>
    </w:rPr>
  </w:style>
  <w:style w:type="paragraph" w:styleId="ListBullet4">
    <w:name w:val="List Bullet 4"/>
    <w:basedOn w:val="Normal"/>
    <w:autoRedefine/>
    <w:rsid w:val="00CE1A5D"/>
    <w:pPr>
      <w:numPr>
        <w:numId w:val="29"/>
      </w:numPr>
      <w:tabs>
        <w:tab w:val="clear" w:pos="1440"/>
        <w:tab w:val="num" w:pos="-78"/>
      </w:tabs>
      <w:spacing w:after="240"/>
      <w:ind w:left="0" w:firstLine="0"/>
    </w:pPr>
    <w:rPr>
      <w:rFonts w:ascii="Courier New" w:hAnsi="Courier New" w:cs="Courier New"/>
      <w:b/>
    </w:rPr>
  </w:style>
  <w:style w:type="table" w:styleId="TableGrid">
    <w:name w:val="Table Grid"/>
    <w:basedOn w:val="TableNormal"/>
    <w:uiPriority w:val="39"/>
    <w:rsid w:val="00102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80758659">
      <w:bodyDiv w:val="1"/>
      <w:marLeft w:val="0"/>
      <w:marRight w:val="0"/>
      <w:marTop w:val="0"/>
      <w:marBottom w:val="0"/>
      <w:divBdr>
        <w:top w:val="none" w:sz="0" w:space="0" w:color="auto"/>
        <w:left w:val="none" w:sz="0" w:space="0" w:color="auto"/>
        <w:bottom w:val="none" w:sz="0" w:space="0" w:color="auto"/>
        <w:right w:val="none" w:sz="0" w:space="0" w:color="auto"/>
      </w:divBdr>
    </w:div>
    <w:div w:id="146174280">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045444912">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2714957">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772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OM/2010/2020_FPOM_MEET/2020_AU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pc.org/documents/FPC_mem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4D2FB-C933-4E12-B888-AFAFF7C3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4645</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31060</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20</cp:revision>
  <cp:lastPrinted>2015-05-12T18:21:00Z</cp:lastPrinted>
  <dcterms:created xsi:type="dcterms:W3CDTF">2020-08-13T16:58:00Z</dcterms:created>
  <dcterms:modified xsi:type="dcterms:W3CDTF">2020-10-22T18:32:00Z</dcterms:modified>
</cp:coreProperties>
</file>